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8" w:color="365975"/>
        </w:pBdr>
      </w:pPr>
      <w:r>
        <w:rPr>
          <w:rFonts w:ascii="Calibri" w:hAnsi="Calibri"/>
          <w:color w:val="365975"/>
        </w:rPr>
        <w:t>Worked example: annotated short particulars</w:t>
      </w:r>
    </w:p>
    <w:p>
      <w:r>
        <w:rPr>
          <w:rFonts w:ascii="Calibri" w:hAnsi="Calibri"/>
          <w:b/>
          <w:color w:val="202522"/>
          <w:sz w:val="18"/>
          <w:shd w:fill="FFF2CC"/>
        </w:rPr>
        <w:t>WORKED EXAMPLE — DO NOT FILE OR COPY WITHOUT ADAPTING IT TO YOUR OWN CASE</w:t>
      </w:r>
    </w:p>
    <w:p>
      <w:r>
        <w:rPr>
          <w:rFonts w:ascii="Calibri" w:hAnsi="Calibri"/>
          <w:color w:val="202522"/>
        </w:rPr>
        <w:t>Fully fictional wording. It demonstrates the job of each sentence and must be checked against the current issuing service and the user’s own legal basis.</w:t>
      </w:r>
    </w:p>
    <w:p>
      <w:r>
        <w:rPr>
          <w:rFonts w:ascii="Calibri" w:hAnsi="Calibri"/>
          <w:color w:val="202522"/>
        </w:rPr>
        <w:t>Content reviewed: 5 September 2026. Directions and current official forms take priority.</w:t>
      </w:r>
    </w:p>
    <w:p>
      <w:pPr>
        <w:pStyle w:val="ListBullet"/>
      </w:pPr>
      <w:r>
        <w:rPr>
          <w:rFonts w:ascii="Calibri" w:hAnsi="Calibri"/>
          <w:color w:val="202522"/>
        </w:rPr>
        <w:t>CPR Part 16: https://www.justice.gov.uk/courts/procedure-rules/civil/rules/part16</w:t>
      </w:r>
    </w:p>
    <w:p>
      <w:r>
        <w:rPr>
          <w:rFonts w:ascii="Calibri" w:hAnsi="Calibri"/>
          <w:color w:val="202522"/>
        </w:rPr>
        <w:br w:type="page"/>
      </w:r>
    </w:p>
    <w:p>
      <w:pPr>
        <w:pStyle w:val="Title"/>
      </w:pPr>
      <w:r>
        <w:t>SHORT PARTICULARS — FICTIONAL EXAMPLE</w:t>
      </w:r>
    </w:p>
    <w:p>
      <w:r>
        <w:t>Alex Morgan claims £1,420 from Example Freehold Ltd as repayment of service charges paid for the fictional property Example House.</w:t>
      </w:r>
    </w:p>
    <w:p>
      <w:r>
        <w:t>The parties are leaseholder and landlord. In this fictional lease, clause 8 requires the landlord to repay charges found not payable within 28 days of a final determination. The claimant relies on breach of that express obligation.</w:t>
      </w:r>
    </w:p>
    <w:p>
      <w:r>
        <w:t>The claimant paid the 2024 demand. On 2 May 2026 the FTT determined, between these parties, that items totalling £1,420 were not payable. The fictional decision is final and contains no repayment order.</w:t>
      </w:r>
    </w:p>
    <w:p>
      <w:r>
        <w:t>The identified schedule reconciles payment, the findings and credits. The contractual 28 days have passed. Despite the letter before claim dated 10 June 2026, £1,420 remains unpaid.</w:t>
      </w:r>
    </w:p>
    <w:p>
      <w:r>
        <w:t>The claimant claims £1,420, the issue fee and any interest properly due on the pleaded basis.</w:t>
      </w:r>
    </w:p>
    <w:p>
      <w:pPr>
        <w:pStyle w:val="Heading1"/>
      </w:pPr>
      <w:r>
        <w:t>What each sentence does</w:t>
      </w:r>
    </w:p>
    <w:p>
      <w:pPr>
        <w:pStyle w:val="ListBullet"/>
      </w:pPr>
      <w:r>
        <w:t>Sentence 1 identifies the parties, remedy and principal.</w:t>
      </w:r>
    </w:p>
    <w:p>
      <w:pPr>
        <w:pStyle w:val="ListBullet"/>
      </w:pPr>
      <w:r>
        <w:t>Sentence 2 supplies an invented express repayment obligation. Use your own supported legal basis; do not assume your lease contains this term.</w:t>
      </w:r>
    </w:p>
    <w:p>
      <w:pPr>
        <w:pStyle w:val="ListBullet"/>
      </w:pPr>
      <w:r>
        <w:t>Sentence 3 states the payment and precise FTT findings without overstating the order.</w:t>
      </w:r>
    </w:p>
    <w:p>
      <w:pPr>
        <w:pStyle w:val="ListBullet"/>
      </w:pPr>
      <w:r>
        <w:t>Sentence 4 links the calculation and pre-action step.</w:t>
      </w:r>
    </w:p>
    <w:p>
      <w:pPr>
        <w:pStyle w:val="ListBullet"/>
      </w:pPr>
      <w:r>
        <w:t>Sentence 5 states the remedy.</w:t>
      </w:r>
    </w:p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example: annotated short particulars</dc:title>
  <dc:subject>Worked example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