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8" w:color="365975"/>
        </w:pBdr>
      </w:pPr>
      <w:r>
        <w:rPr>
          <w:rFonts w:ascii="Calibri" w:hAnsi="Calibri"/>
          <w:color w:val="365975"/>
        </w:rPr>
        <w:t>Worked example: FTT bundle front matter and index</w:t>
      </w:r>
    </w:p>
    <w:p>
      <w:r>
        <w:rPr>
          <w:rFonts w:ascii="Calibri" w:hAnsi="Calibri"/>
          <w:b/>
          <w:color w:val="202522"/>
          <w:sz w:val="18"/>
          <w:shd w:fill="FFF2CC"/>
        </w:rPr>
        <w:t>WORKED EXAMPLE — DO NOT FILE OR COPY WITHOUT ADAPTING IT TO YOUR OWN CASE</w:t>
      </w:r>
    </w:p>
    <w:p>
      <w:r>
        <w:rPr>
          <w:rFonts w:ascii="Calibri" w:hAnsi="Calibri"/>
          <w:color w:val="202522"/>
        </w:rPr>
        <w:t>This public download is deliberately not a complete hearing bundle. It demonstrates only the cover, a populated index, section placeholders and final assembly checks. A real bundle continues after the index with every actual document listed. Identifiers and page ranges here are illustrative.</w:t>
      </w:r>
    </w:p>
    <w:p>
      <w:r>
        <w:rPr>
          <w:rFonts w:ascii="Calibri" w:hAnsi="Calibri"/>
          <w:color w:val="202522"/>
        </w:rPr>
        <w:t>Legal content reviewed: 27 August 2026. Directions and current official forms take priority.</w:t>
      </w:r>
    </w:p>
    <w:p>
      <w:pPr>
        <w:pStyle w:val="ListBullet"/>
      </w:pPr>
      <w:r>
        <w:rPr>
          <w:rFonts w:ascii="Calibri" w:hAnsi="Calibri"/>
          <w:color w:val="202522"/>
        </w:rPr>
        <w:t>T541 case-preparation guidance: https://www.gov.uk/government/publications/service-and-administration-charges-and-management-matters-t541/service-charges-administration-charges-and-other-management-matters-in-the-property-tribunal</w:t>
      </w:r>
    </w:p>
    <w:p>
      <w:r>
        <w:rPr>
          <w:rFonts w:ascii="Calibri" w:hAnsi="Calibri"/>
          <w:color w:val="202522"/>
        </w:rPr>
        <w:br w:type="page"/>
      </w:r>
    </w:p>
    <w:p>
      <w:pPr>
        <w:jc w:val="center"/>
      </w:pPr>
      <w:r>
        <w:rPr>
          <w:b/>
          <w:sz w:val="24"/>
        </w:rPr>
        <w:t>FIRST-TIER TRIBUNAL (PROPERTY CHAMBER)</w:t>
      </w:r>
    </w:p>
    <w:p>
      <w:pPr>
        <w:pStyle w:val="Title"/>
      </w:pPr>
      <w:r>
        <w:t>FTT HEARING BUNDLE — FRONT MATTER / INDEX EXAMPLE ONLY</w:t>
      </w:r>
    </w:p>
    <w:p>
      <w:pPr>
        <w:pStyle w:val="Heading1"/>
      </w:pPr>
      <w:r>
        <w:t>Scope of this worked example</w:t>
      </w:r>
    </w:p>
    <w:p>
      <w:r>
        <w:t>This Word file is a worked example of front matter and indexing only. It is not a complete hearing bundle and does not contain the directions, statements, leases, schedules, invoices, correspondence, photographs or other evidence named below. In the final PDF, those documents must follow the index in the order and format required by the current FTT directions.</w:t>
      </w:r>
    </w:p>
    <w:p>
      <w:r>
        <w:t>Case reference: [REDACTED]    Property: [REDACTED]    Hearing: [REDACTED]</w:t>
      </w:r>
    </w:p>
    <w:p>
      <w:r>
        <w:t>Status: the applicants prepared the bundle after attempting to agree the contents. Respondent material was included and identified separately.</w:t>
      </w:r>
    </w:p>
    <w:p>
      <w:pPr>
        <w:pStyle w:val="Heading1"/>
      </w:pPr>
      <w:r>
        <w:t>Illustrative completed index</w:t>
      </w:r>
    </w:p>
    <w:p>
      <w:r>
        <w:t>The page ranges below show how a completed index works. They do not describe the pages in this short Word download.</w:t>
      </w:r>
    </w:p>
    <w:tbl>
      <w:tblPr>
        <w:tblStyle w:val="TableGrid"/>
        <w:tblW w:type="auto" w:w="0"/>
        <w:jc w:val="center"/>
        <w:tblLayout w:type="fixed"/>
        <w:tblLook w:firstColumn="1" w:firstRow="1" w:lastColumn="0" w:lastRow="0" w:noHBand="0" w:noVBand="1" w:val="04A0"/>
      </w:tblPr>
      <w:tblGrid>
        <w:gridCol w:w="1247"/>
        <w:gridCol w:w="5839"/>
        <w:gridCol w:w="2098"/>
      </w:tblGrid>
      <w:tr>
        <w:trPr>
          <w:tblHeader w:val="true"/>
          <w:cantSplit/>
        </w:trPr>
        <w:tc>
          <w:tcPr>
            <w:tcW w:type="dxa" w:w="1247"/>
            <w:shd w:fill="E6E6E6"/>
            <w:tcMar>
              <w:top w:w="110" w:type="dxa"/>
              <w:start w:w="120" w:type="dxa"/>
              <w:bottom w:w="110" w:type="dxa"/>
              <w:end w:w="120" w:type="dxa"/>
            </w:tcMar>
            <w:vAlign w:val="center"/>
          </w:tcPr>
          <w:p>
            <w:r>
              <w:rPr>
                <w:b/>
                <w:color w:val="000000"/>
                <w:sz w:val="20"/>
              </w:rPr>
              <w:t>Section</w:t>
            </w:r>
          </w:p>
        </w:tc>
        <w:tc>
          <w:tcPr>
            <w:tcW w:type="dxa" w:w="5839"/>
            <w:shd w:fill="E6E6E6"/>
            <w:tcMar>
              <w:top w:w="110" w:type="dxa"/>
              <w:start w:w="120" w:type="dxa"/>
              <w:bottom w:w="110" w:type="dxa"/>
              <w:end w:w="120" w:type="dxa"/>
            </w:tcMar>
            <w:vAlign w:val="center"/>
          </w:tcPr>
          <w:p>
            <w:r>
              <w:rPr>
                <w:b/>
                <w:color w:val="000000"/>
                <w:sz w:val="20"/>
              </w:rPr>
              <w:t>Document class</w:t>
            </w:r>
          </w:p>
        </w:tc>
        <w:tc>
          <w:tcPr>
            <w:tcW w:type="dxa" w:w="2098"/>
            <w:shd w:fill="E6E6E6"/>
            <w:tcMar>
              <w:top w:w="110" w:type="dxa"/>
              <w:start w:w="120" w:type="dxa"/>
              <w:bottom w:w="110" w:type="dxa"/>
              <w:end w:w="120" w:type="dxa"/>
            </w:tcMar>
            <w:vAlign w:val="center"/>
          </w:tcPr>
          <w:p>
            <w:r>
              <w:rPr>
                <w:b/>
                <w:color w:val="000000"/>
                <w:sz w:val="20"/>
              </w:rPr>
              <w:t>Illustrative pages</w:t>
            </w:r>
          </w:p>
        </w:tc>
      </w:tr>
      <w:tr>
        <w:trPr>
          <w:cantSplit/>
        </w:trPr>
        <w:tc>
          <w:tcPr>
            <w:tcW w:type="dxa" w:w="1247"/>
            <w:tcMar>
              <w:top w:w="110" w:type="dxa"/>
              <w:start w:w="120" w:type="dxa"/>
              <w:bottom w:w="110" w:type="dxa"/>
              <w:end w:w="120" w:type="dxa"/>
            </w:tcMar>
          </w:tcPr>
          <w:p>
            <w:r>
              <w:rPr>
                <w:sz w:val="20"/>
              </w:rPr>
              <w:t>A</w:t>
            </w:r>
          </w:p>
        </w:tc>
        <w:tc>
          <w:tcPr>
            <w:tcW w:type="dxa" w:w="5839"/>
            <w:tcMar>
              <w:top w:w="110" w:type="dxa"/>
              <w:start w:w="120" w:type="dxa"/>
              <w:bottom w:w="110" w:type="dxa"/>
              <w:end w:w="120" w:type="dxa"/>
            </w:tcMar>
          </w:tcPr>
          <w:p>
            <w:r>
              <w:rPr>
                <w:sz w:val="20"/>
              </w:rPr>
              <w:t>Directions and subsequent notices / orders</w:t>
            </w:r>
          </w:p>
        </w:tc>
        <w:tc>
          <w:tcPr>
            <w:tcW w:type="dxa" w:w="2098"/>
            <w:tcMar>
              <w:top w:w="110" w:type="dxa"/>
              <w:start w:w="120" w:type="dxa"/>
              <w:bottom w:w="110" w:type="dxa"/>
              <w:end w:w="120" w:type="dxa"/>
            </w:tcMar>
          </w:tcPr>
          <w:p>
            <w:r>
              <w:rPr>
                <w:sz w:val="20"/>
              </w:rPr>
              <w:t>1–18</w:t>
            </w:r>
          </w:p>
        </w:tc>
      </w:tr>
      <w:tr>
        <w:trPr>
          <w:cantSplit/>
        </w:trPr>
        <w:tc>
          <w:tcPr>
            <w:tcW w:type="dxa" w:w="1247"/>
            <w:tcMar>
              <w:top w:w="110" w:type="dxa"/>
              <w:start w:w="120" w:type="dxa"/>
              <w:bottom w:w="110" w:type="dxa"/>
              <w:end w:w="120" w:type="dxa"/>
            </w:tcMar>
          </w:tcPr>
          <w:p>
            <w:r>
              <w:rPr>
                <w:sz w:val="20"/>
              </w:rPr>
              <w:t>B</w:t>
            </w:r>
          </w:p>
        </w:tc>
        <w:tc>
          <w:tcPr>
            <w:tcW w:type="dxa" w:w="5839"/>
            <w:tcMar>
              <w:top w:w="110" w:type="dxa"/>
              <w:start w:w="120" w:type="dxa"/>
              <w:bottom w:w="110" w:type="dxa"/>
              <w:end w:w="120" w:type="dxa"/>
            </w:tcMar>
          </w:tcPr>
          <w:p>
            <w:r>
              <w:rPr>
                <w:sz w:val="20"/>
              </w:rPr>
              <w:t>Application, statements of case and replies</w:t>
            </w:r>
          </w:p>
        </w:tc>
        <w:tc>
          <w:tcPr>
            <w:tcW w:type="dxa" w:w="2098"/>
            <w:tcMar>
              <w:top w:w="110" w:type="dxa"/>
              <w:start w:w="120" w:type="dxa"/>
              <w:bottom w:w="110" w:type="dxa"/>
              <w:end w:w="120" w:type="dxa"/>
            </w:tcMar>
          </w:tcPr>
          <w:p>
            <w:r>
              <w:rPr>
                <w:sz w:val="20"/>
              </w:rPr>
              <w:t>19–46</w:t>
            </w:r>
          </w:p>
        </w:tc>
      </w:tr>
      <w:tr>
        <w:trPr>
          <w:cantSplit/>
        </w:trPr>
        <w:tc>
          <w:tcPr>
            <w:tcW w:type="dxa" w:w="1247"/>
            <w:tcMar>
              <w:top w:w="110" w:type="dxa"/>
              <w:start w:w="120" w:type="dxa"/>
              <w:bottom w:w="110" w:type="dxa"/>
              <w:end w:w="120" w:type="dxa"/>
            </w:tcMar>
          </w:tcPr>
          <w:p>
            <w:r>
              <w:rPr>
                <w:sz w:val="20"/>
              </w:rPr>
              <w:t>C</w:t>
            </w:r>
          </w:p>
        </w:tc>
        <w:tc>
          <w:tcPr>
            <w:tcW w:type="dxa" w:w="5839"/>
            <w:tcMar>
              <w:top w:w="110" w:type="dxa"/>
              <w:start w:w="120" w:type="dxa"/>
              <w:bottom w:w="110" w:type="dxa"/>
              <w:end w:w="120" w:type="dxa"/>
            </w:tcMar>
          </w:tcPr>
          <w:p>
            <w:r>
              <w:rPr>
                <w:sz w:val="20"/>
              </w:rPr>
              <w:t>Lease extracts and relevant variations</w:t>
            </w:r>
          </w:p>
        </w:tc>
        <w:tc>
          <w:tcPr>
            <w:tcW w:type="dxa" w:w="2098"/>
            <w:tcMar>
              <w:top w:w="110" w:type="dxa"/>
              <w:start w:w="120" w:type="dxa"/>
              <w:bottom w:w="110" w:type="dxa"/>
              <w:end w:w="120" w:type="dxa"/>
            </w:tcMar>
          </w:tcPr>
          <w:p>
            <w:r>
              <w:rPr>
                <w:sz w:val="20"/>
              </w:rPr>
              <w:t>47–82</w:t>
            </w:r>
          </w:p>
        </w:tc>
      </w:tr>
      <w:tr>
        <w:trPr>
          <w:cantSplit/>
        </w:trPr>
        <w:tc>
          <w:tcPr>
            <w:tcW w:type="dxa" w:w="1247"/>
            <w:tcMar>
              <w:top w:w="110" w:type="dxa"/>
              <w:start w:w="120" w:type="dxa"/>
              <w:bottom w:w="110" w:type="dxa"/>
              <w:end w:w="120" w:type="dxa"/>
            </w:tcMar>
          </w:tcPr>
          <w:p>
            <w:r>
              <w:rPr>
                <w:sz w:val="20"/>
              </w:rPr>
              <w:t>D</w:t>
            </w:r>
          </w:p>
        </w:tc>
        <w:tc>
          <w:tcPr>
            <w:tcW w:type="dxa" w:w="5839"/>
            <w:tcMar>
              <w:top w:w="110" w:type="dxa"/>
              <w:start w:w="120" w:type="dxa"/>
              <w:bottom w:w="110" w:type="dxa"/>
              <w:end w:w="120" w:type="dxa"/>
            </w:tcMar>
          </w:tcPr>
          <w:p>
            <w:r>
              <w:rPr>
                <w:sz w:val="20"/>
              </w:rPr>
              <w:t>Schedule of items in dispute</w:t>
            </w:r>
          </w:p>
        </w:tc>
        <w:tc>
          <w:tcPr>
            <w:tcW w:type="dxa" w:w="2098"/>
            <w:tcMar>
              <w:top w:w="110" w:type="dxa"/>
              <w:start w:w="120" w:type="dxa"/>
              <w:bottom w:w="110" w:type="dxa"/>
              <w:end w:w="120" w:type="dxa"/>
            </w:tcMar>
          </w:tcPr>
          <w:p>
            <w:r>
              <w:rPr>
                <w:sz w:val="20"/>
              </w:rPr>
              <w:t>83–92</w:t>
            </w:r>
          </w:p>
        </w:tc>
      </w:tr>
      <w:tr>
        <w:trPr>
          <w:cantSplit/>
        </w:trPr>
        <w:tc>
          <w:tcPr>
            <w:tcW w:type="dxa" w:w="1247"/>
            <w:tcMar>
              <w:top w:w="110" w:type="dxa"/>
              <w:start w:w="120" w:type="dxa"/>
              <w:bottom w:w="110" w:type="dxa"/>
              <w:end w:w="120" w:type="dxa"/>
            </w:tcMar>
          </w:tcPr>
          <w:p>
            <w:r>
              <w:rPr>
                <w:sz w:val="20"/>
              </w:rPr>
              <w:t>E</w:t>
            </w:r>
          </w:p>
        </w:tc>
        <w:tc>
          <w:tcPr>
            <w:tcW w:type="dxa" w:w="5839"/>
            <w:tcMar>
              <w:top w:w="110" w:type="dxa"/>
              <w:start w:w="120" w:type="dxa"/>
              <w:bottom w:w="110" w:type="dxa"/>
              <w:end w:w="120" w:type="dxa"/>
            </w:tcMar>
          </w:tcPr>
          <w:p>
            <w:r>
              <w:rPr>
                <w:sz w:val="20"/>
              </w:rPr>
              <w:t>Invoices, accounts, demands and quotations</w:t>
            </w:r>
          </w:p>
        </w:tc>
        <w:tc>
          <w:tcPr>
            <w:tcW w:type="dxa" w:w="2098"/>
            <w:tcMar>
              <w:top w:w="110" w:type="dxa"/>
              <w:start w:w="120" w:type="dxa"/>
              <w:bottom w:w="110" w:type="dxa"/>
              <w:end w:w="120" w:type="dxa"/>
            </w:tcMar>
          </w:tcPr>
          <w:p>
            <w:r>
              <w:rPr>
                <w:sz w:val="20"/>
              </w:rPr>
              <w:t>93–146</w:t>
            </w:r>
          </w:p>
        </w:tc>
      </w:tr>
      <w:tr>
        <w:trPr>
          <w:cantSplit/>
        </w:trPr>
        <w:tc>
          <w:tcPr>
            <w:tcW w:type="dxa" w:w="1247"/>
            <w:tcMar>
              <w:top w:w="110" w:type="dxa"/>
              <w:start w:w="120" w:type="dxa"/>
              <w:bottom w:w="110" w:type="dxa"/>
              <w:end w:w="120" w:type="dxa"/>
            </w:tcMar>
          </w:tcPr>
          <w:p>
            <w:r>
              <w:rPr>
                <w:sz w:val="20"/>
              </w:rPr>
              <w:t>F</w:t>
            </w:r>
          </w:p>
        </w:tc>
        <w:tc>
          <w:tcPr>
            <w:tcW w:type="dxa" w:w="5839"/>
            <w:tcMar>
              <w:top w:w="110" w:type="dxa"/>
              <w:start w:w="120" w:type="dxa"/>
              <w:bottom w:w="110" w:type="dxa"/>
              <w:end w:w="120" w:type="dxa"/>
            </w:tcMar>
          </w:tcPr>
          <w:p>
            <w:r>
              <w:rPr>
                <w:sz w:val="20"/>
              </w:rPr>
              <w:t>Witness evidence, correspondence and photographs</w:t>
            </w:r>
          </w:p>
        </w:tc>
        <w:tc>
          <w:tcPr>
            <w:tcW w:type="dxa" w:w="2098"/>
            <w:tcMar>
              <w:top w:w="110" w:type="dxa"/>
              <w:start w:w="120" w:type="dxa"/>
              <w:bottom w:w="110" w:type="dxa"/>
              <w:end w:w="120" w:type="dxa"/>
            </w:tcMar>
          </w:tcPr>
          <w:p>
            <w:r>
              <w:rPr>
                <w:sz w:val="20"/>
              </w:rPr>
              <w:t>147–184</w:t>
            </w:r>
          </w:p>
        </w:tc>
      </w:tr>
      <w:tr>
        <w:trPr>
          <w:cantSplit/>
        </w:trPr>
        <w:tc>
          <w:tcPr>
            <w:tcW w:type="dxa" w:w="1247"/>
            <w:tcMar>
              <w:top w:w="110" w:type="dxa"/>
              <w:start w:w="120" w:type="dxa"/>
              <w:bottom w:w="110" w:type="dxa"/>
              <w:end w:w="120" w:type="dxa"/>
            </w:tcMar>
          </w:tcPr>
          <w:p>
            <w:r>
              <w:rPr>
                <w:sz w:val="20"/>
              </w:rPr>
              <w:t>G</w:t>
            </w:r>
          </w:p>
        </w:tc>
        <w:tc>
          <w:tcPr>
            <w:tcW w:type="dxa" w:w="5839"/>
            <w:tcMar>
              <w:top w:w="110" w:type="dxa"/>
              <w:start w:w="120" w:type="dxa"/>
              <w:bottom w:w="110" w:type="dxa"/>
              <w:end w:w="120" w:type="dxa"/>
            </w:tcMar>
          </w:tcPr>
          <w:p>
            <w:r>
              <w:rPr>
                <w:sz w:val="20"/>
              </w:rPr>
              <w:t>Previous decisions and other permitted material</w:t>
            </w:r>
          </w:p>
        </w:tc>
        <w:tc>
          <w:tcPr>
            <w:tcW w:type="dxa" w:w="2098"/>
            <w:tcMar>
              <w:top w:w="110" w:type="dxa"/>
              <w:start w:w="120" w:type="dxa"/>
              <w:bottom w:w="110" w:type="dxa"/>
              <w:end w:w="120" w:type="dxa"/>
            </w:tcMar>
          </w:tcPr>
          <w:p>
            <w:r>
              <w:rPr>
                <w:sz w:val="20"/>
              </w:rPr>
              <w:t>185–206</w:t>
            </w:r>
          </w:p>
        </w:tc>
      </w:tr>
    </w:tbl>
    <w:p/>
    <w:p>
      <w:pPr>
        <w:pStyle w:val="Heading1"/>
      </w:pPr>
      <w:r>
        <w:t>MAIN CONTENT OMITTED FROM THIS PUBLIC EXAMPLE</w:t>
      </w:r>
    </w:p>
    <w:p>
      <w:r>
        <w:t>PLACEHOLDER ONLY: in a real bundle, the next pages would be section dividers followed immediately by the actual documents. This public example stops here so that private evidence is not reproduced.</w:t>
      </w:r>
    </w:p>
    <w:tbl>
      <w:tblPr>
        <w:tblStyle w:val="TableGrid"/>
        <w:tblW w:type="auto" w:w="0"/>
        <w:jc w:val="center"/>
        <w:tblLayout w:type="fixed"/>
        <w:tblLook w:firstColumn="1" w:firstRow="1" w:lastColumn="0" w:lastRow="0" w:noHBand="0" w:noVBand="1" w:val="04A0"/>
      </w:tblPr>
      <w:tblGrid>
        <w:gridCol w:w="1247"/>
        <w:gridCol w:w="7994"/>
      </w:tblGrid>
      <w:tr>
        <w:trPr>
          <w:tblHeader w:val="true"/>
          <w:cantSplit/>
        </w:trPr>
        <w:tc>
          <w:tcPr>
            <w:tcW w:type="dxa" w:w="1247"/>
            <w:shd w:fill="E6E6E6"/>
            <w:tcMar>
              <w:top w:w="110" w:type="dxa"/>
              <w:start w:w="120" w:type="dxa"/>
              <w:bottom w:w="110" w:type="dxa"/>
              <w:end w:w="120" w:type="dxa"/>
            </w:tcMar>
            <w:vAlign w:val="center"/>
          </w:tcPr>
          <w:p>
            <w:r>
              <w:rPr>
                <w:b/>
                <w:color w:val="000000"/>
                <w:sz w:val="20"/>
              </w:rPr>
              <w:t>Section</w:t>
            </w:r>
          </w:p>
        </w:tc>
        <w:tc>
          <w:tcPr>
            <w:tcW w:type="dxa" w:w="7994"/>
            <w:shd w:fill="E6E6E6"/>
            <w:tcMar>
              <w:top w:w="110" w:type="dxa"/>
              <w:start w:w="120" w:type="dxa"/>
              <w:bottom w:w="110" w:type="dxa"/>
              <w:end w:w="120" w:type="dxa"/>
            </w:tcMar>
            <w:vAlign w:val="center"/>
          </w:tcPr>
          <w:p>
            <w:r>
              <w:rPr>
                <w:b/>
                <w:color w:val="000000"/>
                <w:sz w:val="20"/>
              </w:rPr>
              <w:t>What must be inserted in the final PDF</w:t>
            </w:r>
          </w:p>
        </w:tc>
      </w:tr>
      <w:tr>
        <w:trPr>
          <w:cantSplit/>
        </w:trPr>
        <w:tc>
          <w:tcPr>
            <w:tcW w:type="dxa" w:w="1247"/>
            <w:tcMar>
              <w:top w:w="110" w:type="dxa"/>
              <w:start w:w="120" w:type="dxa"/>
              <w:bottom w:w="110" w:type="dxa"/>
              <w:end w:w="120" w:type="dxa"/>
            </w:tcMar>
          </w:tcPr>
          <w:p>
            <w:r>
              <w:rPr>
                <w:sz w:val="20"/>
              </w:rPr>
              <w:t>A</w:t>
            </w:r>
          </w:p>
        </w:tc>
        <w:tc>
          <w:tcPr>
            <w:tcW w:type="dxa" w:w="7994"/>
            <w:tcMar>
              <w:top w:w="110" w:type="dxa"/>
              <w:start w:w="120" w:type="dxa"/>
              <w:bottom w:w="110" w:type="dxa"/>
              <w:end w:w="120" w:type="dxa"/>
            </w:tcMar>
          </w:tcPr>
          <w:p>
            <w:r>
              <w:rPr>
                <w:sz w:val="20"/>
              </w:rPr>
              <w:t>[INSERT the current directions and every later notice or order relied on.]</w:t>
            </w:r>
          </w:p>
        </w:tc>
      </w:tr>
      <w:tr>
        <w:trPr>
          <w:cantSplit/>
        </w:trPr>
        <w:tc>
          <w:tcPr>
            <w:tcW w:type="dxa" w:w="1247"/>
            <w:tcMar>
              <w:top w:w="110" w:type="dxa"/>
              <w:start w:w="120" w:type="dxa"/>
              <w:bottom w:w="110" w:type="dxa"/>
              <w:end w:w="120" w:type="dxa"/>
            </w:tcMar>
          </w:tcPr>
          <w:p>
            <w:r>
              <w:rPr>
                <w:sz w:val="20"/>
              </w:rPr>
              <w:t>B</w:t>
            </w:r>
          </w:p>
        </w:tc>
        <w:tc>
          <w:tcPr>
            <w:tcW w:type="dxa" w:w="7994"/>
            <w:tcMar>
              <w:top w:w="110" w:type="dxa"/>
              <w:start w:w="120" w:type="dxa"/>
              <w:bottom w:w="110" w:type="dxa"/>
              <w:end w:w="120" w:type="dxa"/>
            </w:tcMar>
          </w:tcPr>
          <w:p>
            <w:r>
              <w:rPr>
                <w:sz w:val="20"/>
              </w:rPr>
              <w:t>[INSERT the application, statements of case and any permitted reply.]</w:t>
            </w:r>
          </w:p>
        </w:tc>
      </w:tr>
      <w:tr>
        <w:trPr>
          <w:cantSplit/>
        </w:trPr>
        <w:tc>
          <w:tcPr>
            <w:tcW w:type="dxa" w:w="1247"/>
            <w:tcMar>
              <w:top w:w="110" w:type="dxa"/>
              <w:start w:w="120" w:type="dxa"/>
              <w:bottom w:w="110" w:type="dxa"/>
              <w:end w:w="120" w:type="dxa"/>
            </w:tcMar>
          </w:tcPr>
          <w:p>
            <w:r>
              <w:rPr>
                <w:sz w:val="20"/>
              </w:rPr>
              <w:t>C</w:t>
            </w:r>
          </w:p>
        </w:tc>
        <w:tc>
          <w:tcPr>
            <w:tcW w:type="dxa" w:w="7994"/>
            <w:tcMar>
              <w:top w:w="110" w:type="dxa"/>
              <w:start w:w="120" w:type="dxa"/>
              <w:bottom w:w="110" w:type="dxa"/>
              <w:end w:w="120" w:type="dxa"/>
            </w:tcMar>
          </w:tcPr>
          <w:p>
            <w:r>
              <w:rPr>
                <w:sz w:val="20"/>
              </w:rPr>
              <w:t>[INSERT the relevant lease or specimen lease and any required variation schedule.]</w:t>
            </w:r>
          </w:p>
        </w:tc>
      </w:tr>
      <w:tr>
        <w:trPr>
          <w:cantSplit/>
        </w:trPr>
        <w:tc>
          <w:tcPr>
            <w:tcW w:type="dxa" w:w="1247"/>
            <w:tcMar>
              <w:top w:w="110" w:type="dxa"/>
              <w:start w:w="120" w:type="dxa"/>
              <w:bottom w:w="110" w:type="dxa"/>
              <w:end w:w="120" w:type="dxa"/>
            </w:tcMar>
          </w:tcPr>
          <w:p>
            <w:r>
              <w:rPr>
                <w:sz w:val="20"/>
              </w:rPr>
              <w:t>D</w:t>
            </w:r>
          </w:p>
        </w:tc>
        <w:tc>
          <w:tcPr>
            <w:tcW w:type="dxa" w:w="7994"/>
            <w:tcMar>
              <w:top w:w="110" w:type="dxa"/>
              <w:start w:w="120" w:type="dxa"/>
              <w:bottom w:w="110" w:type="dxa"/>
              <w:end w:w="120" w:type="dxa"/>
            </w:tcMar>
          </w:tcPr>
          <w:p>
            <w:r>
              <w:rPr>
                <w:sz w:val="20"/>
              </w:rPr>
              <w:t>[INSERT the final completed schedule of items in dispute.]</w:t>
            </w:r>
          </w:p>
        </w:tc>
      </w:tr>
      <w:tr>
        <w:trPr>
          <w:cantSplit/>
        </w:trPr>
        <w:tc>
          <w:tcPr>
            <w:tcW w:type="dxa" w:w="1247"/>
            <w:tcMar>
              <w:top w:w="110" w:type="dxa"/>
              <w:start w:w="120" w:type="dxa"/>
              <w:bottom w:w="110" w:type="dxa"/>
              <w:end w:w="120" w:type="dxa"/>
            </w:tcMar>
          </w:tcPr>
          <w:p>
            <w:r>
              <w:rPr>
                <w:sz w:val="20"/>
              </w:rPr>
              <w:t>E</w:t>
            </w:r>
          </w:p>
        </w:tc>
        <w:tc>
          <w:tcPr>
            <w:tcW w:type="dxa" w:w="7994"/>
            <w:tcMar>
              <w:top w:w="110" w:type="dxa"/>
              <w:start w:w="120" w:type="dxa"/>
              <w:bottom w:w="110" w:type="dxa"/>
              <w:end w:w="120" w:type="dxa"/>
            </w:tcMar>
          </w:tcPr>
          <w:p>
            <w:r>
              <w:rPr>
                <w:sz w:val="20"/>
              </w:rPr>
              <w:t>[INSERT the relevant invoices, accounts, demands and quotations.]</w:t>
            </w:r>
          </w:p>
        </w:tc>
      </w:tr>
      <w:tr>
        <w:trPr>
          <w:cantSplit/>
        </w:trPr>
        <w:tc>
          <w:tcPr>
            <w:tcW w:type="dxa" w:w="1247"/>
            <w:tcMar>
              <w:top w:w="110" w:type="dxa"/>
              <w:start w:w="120" w:type="dxa"/>
              <w:bottom w:w="110" w:type="dxa"/>
              <w:end w:w="120" w:type="dxa"/>
            </w:tcMar>
          </w:tcPr>
          <w:p>
            <w:r>
              <w:rPr>
                <w:sz w:val="20"/>
              </w:rPr>
              <w:t>F</w:t>
            </w:r>
          </w:p>
        </w:tc>
        <w:tc>
          <w:tcPr>
            <w:tcW w:type="dxa" w:w="7994"/>
            <w:tcMar>
              <w:top w:w="110" w:type="dxa"/>
              <w:start w:w="120" w:type="dxa"/>
              <w:bottom w:w="110" w:type="dxa"/>
              <w:end w:w="120" w:type="dxa"/>
            </w:tcMar>
          </w:tcPr>
          <w:p>
            <w:r>
              <w:rPr>
                <w:sz w:val="20"/>
              </w:rPr>
              <w:t>[INSERT signed witness statements, exhibits, correspondence and photographs relied on.]</w:t>
            </w:r>
          </w:p>
        </w:tc>
      </w:tr>
      <w:tr>
        <w:trPr>
          <w:cantSplit/>
        </w:trPr>
        <w:tc>
          <w:tcPr>
            <w:tcW w:type="dxa" w:w="1247"/>
            <w:tcMar>
              <w:top w:w="110" w:type="dxa"/>
              <w:start w:w="120" w:type="dxa"/>
              <w:bottom w:w="110" w:type="dxa"/>
              <w:end w:w="120" w:type="dxa"/>
            </w:tcMar>
          </w:tcPr>
          <w:p>
            <w:r>
              <w:rPr>
                <w:sz w:val="20"/>
              </w:rPr>
              <w:t>G</w:t>
            </w:r>
          </w:p>
        </w:tc>
        <w:tc>
          <w:tcPr>
            <w:tcW w:type="dxa" w:w="7994"/>
            <w:tcMar>
              <w:top w:w="110" w:type="dxa"/>
              <w:start w:w="120" w:type="dxa"/>
              <w:bottom w:w="110" w:type="dxa"/>
              <w:end w:w="120" w:type="dxa"/>
            </w:tcMar>
          </w:tcPr>
          <w:p>
            <w:r>
              <w:rPr>
                <w:sz w:val="20"/>
              </w:rPr>
              <w:t>[INSERT earlier decisions or other material permitted or required by the directions.]</w:t>
            </w:r>
          </w:p>
        </w:tc>
      </w:tr>
    </w:tbl>
    <w:p/>
    <w:p>
      <w:pPr>
        <w:pStyle w:val="Heading1"/>
      </w:pPr>
      <w:r>
        <w:t>Assembly record demonstrated</w:t>
      </w:r>
    </w:p>
    <w:p>
      <w:pPr>
        <w:pStyle w:val="ListBullet"/>
      </w:pPr>
      <w:r>
        <w:t>The latest FTT directions controlled the contents, order, format, deadline and service method.</w:t>
      </w:r>
    </w:p>
    <w:p>
      <w:pPr>
        <w:pStyle w:val="ListBullet"/>
      </w:pPr>
      <w:r>
        <w:t>Cover, index and every divider page were included in the continuous page sequence.</w:t>
      </w:r>
    </w:p>
    <w:p>
      <w:pPr>
        <w:pStyle w:val="ListBullet"/>
      </w:pPr>
      <w:r>
        <w:t>Page numbers were added only after the documents were merged; the index was then checked against the final PDF.</w:t>
      </w:r>
    </w:p>
    <w:p>
      <w:pPr>
        <w:pStyle w:val="ListBullet"/>
      </w:pPr>
      <w:r>
        <w:t>Page-number overlays were checked so they did not cover text or an existing source-document footer.</w:t>
      </w:r>
    </w:p>
    <w:p>
      <w:pPr>
        <w:pStyle w:val="ListBullet"/>
      </w:pPr>
      <w:r>
        <w:t>Private account identifiers, duplicates and irrelevant correspondence were removed.</w:t>
      </w:r>
    </w:p>
    <w:p>
      <w:pPr>
        <w:pStyle w:val="ListBullet"/>
      </w:pPr>
      <w:r>
        <w:t>The identical final PDF was sent to the Tribunal and every party, and proof of service was retained.</w:t>
      </w:r>
    </w:p>
    <w:sectPr w:rsidR="00FC693F" w:rsidRPr="0006063C" w:rsidSect="00034616">
      <w:footerReference w:type="default" r:id="rId9"/>
      <w:pgSz w:w="11906" w:h="16838"/>
      <w:pgMar w:top="124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FTT bundle front matter and index</dc:title>
  <dc:subject>Worked example for residential leaseholders in England</dc:subject>
  <dc:creator/>
  <cp:keywords/>
  <dc:description/>
  <cp:lastModifiedBy/>
  <cp:revision>1</cp:revision>
  <dcterms:created xsi:type="dcterms:W3CDTF">2013-12-23T23:15:00Z</dcterms:created>
  <dcterms:modified xsi:type="dcterms:W3CDTF">2013-12-23T23:15:00Z</dcterms:modified>
  <cp:category/>
</cp:coreProperties>
</file>