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8" w:color="365975"/>
        </w:pBdr>
      </w:pPr>
      <w:r>
        <w:rPr>
          <w:rFonts w:ascii="Calibri" w:hAnsi="Calibri"/>
          <w:color w:val="365975"/>
        </w:rPr>
        <w:t>Worked example: County Court witness statement</w:t>
      </w:r>
    </w:p>
    <w:p>
      <w:r>
        <w:rPr>
          <w:rFonts w:ascii="Calibri" w:hAnsi="Calibri"/>
          <w:b/>
          <w:color w:val="202522"/>
          <w:sz w:val="18"/>
          <w:shd w:fill="FFF2CC"/>
        </w:rPr>
        <w:t>WORKED EXAMPLE — DO NOT FILE OR COPY WITHOUT ADAPTING IT TO YOUR OWN CASE</w:t>
      </w:r>
    </w:p>
    <w:p>
      <w:r>
        <w:rPr>
          <w:rFonts w:ascii="Calibri" w:hAnsi="Calibri"/>
          <w:color w:val="202522"/>
        </w:rPr>
        <w:t>This fictional statement follows the PD 32 format. On the small-claims track, CPR 27.2 excludes Part 32 except rule 32.1: follow the court’s evidence directions. Names, dates and figures are invented. Legal submissions and confidential mediation material are omitted.</w:t>
      </w:r>
    </w:p>
    <w:p>
      <w:r>
        <w:rPr>
          <w:rFonts w:ascii="Calibri" w:hAnsi="Calibri"/>
          <w:color w:val="202522"/>
        </w:rPr>
        <w:t>Content reviewed: 5 September 2026. Directions and current official forms take priority.</w:t>
      </w:r>
    </w:p>
    <w:p>
      <w:pPr>
        <w:pStyle w:val="ListBullet"/>
      </w:pPr>
      <w:r>
        <w:rPr>
          <w:rFonts w:ascii="Calibri" w:hAnsi="Calibri"/>
          <w:color w:val="202522"/>
        </w:rPr>
        <w:t>Practice Direction 32: https://www.justice.gov.uk/courts/procedure-rules/civil/rules/part32/pd_part32</w:t>
      </w:r>
    </w:p>
    <w:p>
      <w:pPr>
        <w:pStyle w:val="ListBullet"/>
      </w:pPr>
      <w:r>
        <w:rPr>
          <w:rFonts w:ascii="Calibri" w:hAnsi="Calibri"/>
          <w:color w:val="202522"/>
        </w:rPr>
        <w:t>Practice Direction 22: https://www.justice.gov.uk/courts/procedure-rules/civil/rules/part22/pd_part22</w:t>
      </w:r>
    </w:p>
    <w:p>
      <w:r>
        <w:rPr>
          <w:rFonts w:ascii="Calibri" w:hAnsi="Calibri"/>
          <w:color w:val="202522"/>
        </w:rPr>
        <w:br w:type="page"/>
      </w:r>
    </w:p>
    <w:tbl>
      <w:tblPr>
        <w:tblStyle w:val="TableGrid"/>
        <w:tblW w:type="auto" w:w="0"/>
        <w:jc w:val="right"/>
        <w:tblLayout w:type="fixed"/>
        <w:tblLook w:firstColumn="1" w:firstRow="1" w:lastColumn="0" w:lastRow="0" w:noHBand="0" w:noVBand="1" w:val="04A0"/>
      </w:tblPr>
      <w:tblGrid>
        <w:gridCol w:w="4337"/>
        <w:gridCol w:w="4337"/>
      </w:tblGrid>
      <w:tr>
        <w:tc>
          <w:tcPr>
            <w:tcW w:type="dxa" w:w="1928"/>
            <w:tcMar>
              <w:top w:w="55" w:type="dxa"/>
              <w:start w:w="80" w:type="dxa"/>
              <w:bottom w:w="55" w:type="dxa"/>
              <w:end w:w="80" w:type="dxa"/>
            </w:tcMar>
            <w:vAlign w:val="center"/>
            <w:shd w:fill="F1F3EE"/>
          </w:tcPr>
          <w:p>
            <w:r>
              <w:rPr>
                <w:rFonts w:ascii="Times New Roman" w:hAnsi="Times New Roman"/>
                <w:b/>
                <w:sz w:val="20"/>
              </w:rPr>
              <w:t>Party on whose behalf</w:t>
            </w:r>
          </w:p>
        </w:tc>
        <w:tc>
          <w:tcPr>
            <w:tcW w:type="dxa" w:w="3515"/>
            <w:tcMar>
              <w:top w:w="55" w:type="dxa"/>
              <w:start w:w="80" w:type="dxa"/>
              <w:bottom w:w="55" w:type="dxa"/>
              <w:end w:w="80" w:type="dxa"/>
            </w:tcMar>
            <w:vAlign w:val="center"/>
          </w:tcPr>
          <w:p>
            <w:r>
              <w:rPr>
                <w:rFonts w:ascii="Times New Roman" w:hAnsi="Times New Roman"/>
                <w:sz w:val="20"/>
              </w:rPr>
              <w:t>Claimant</w:t>
            </w:r>
          </w:p>
        </w:tc>
      </w:tr>
      <w:tr>
        <w:tc>
          <w:tcPr>
            <w:tcW w:type="dxa" w:w="1928"/>
            <w:tcMar>
              <w:top w:w="55" w:type="dxa"/>
              <w:start w:w="80" w:type="dxa"/>
              <w:bottom w:w="55" w:type="dxa"/>
              <w:end w:w="80" w:type="dxa"/>
            </w:tcMar>
            <w:vAlign w:val="center"/>
            <w:shd w:fill="F1F3EE"/>
          </w:tcPr>
          <w:p>
            <w:r>
              <w:rPr>
                <w:rFonts w:ascii="Times New Roman" w:hAnsi="Times New Roman"/>
                <w:b/>
                <w:sz w:val="20"/>
              </w:rPr>
              <w:t>Witness</w:t>
            </w:r>
          </w:p>
        </w:tc>
        <w:tc>
          <w:tcPr>
            <w:tcW w:type="dxa" w:w="3515"/>
            <w:tcMar>
              <w:top w:w="55" w:type="dxa"/>
              <w:start w:w="80" w:type="dxa"/>
              <w:bottom w:w="55" w:type="dxa"/>
              <w:end w:w="80" w:type="dxa"/>
            </w:tcMar>
            <w:vAlign w:val="center"/>
          </w:tcPr>
          <w:p>
            <w:r>
              <w:rPr>
                <w:rFonts w:ascii="Times New Roman" w:hAnsi="Times New Roman"/>
                <w:sz w:val="20"/>
              </w:rPr>
              <w:t>A Morgan</w:t>
            </w:r>
          </w:p>
        </w:tc>
      </w:tr>
      <w:tr>
        <w:tc>
          <w:tcPr>
            <w:tcW w:type="dxa" w:w="1928"/>
            <w:tcMar>
              <w:top w:w="55" w:type="dxa"/>
              <w:start w:w="80" w:type="dxa"/>
              <w:bottom w:w="55" w:type="dxa"/>
              <w:end w:w="80" w:type="dxa"/>
            </w:tcMar>
            <w:vAlign w:val="center"/>
            <w:shd w:fill="F1F3EE"/>
          </w:tcPr>
          <w:p>
            <w:r>
              <w:rPr>
                <w:rFonts w:ascii="Times New Roman" w:hAnsi="Times New Roman"/>
                <w:b/>
                <w:sz w:val="20"/>
              </w:rPr>
              <w:t>Statement number</w:t>
            </w:r>
          </w:p>
        </w:tc>
        <w:tc>
          <w:tcPr>
            <w:tcW w:type="dxa" w:w="3515"/>
            <w:tcMar>
              <w:top w:w="55" w:type="dxa"/>
              <w:start w:w="80" w:type="dxa"/>
              <w:bottom w:w="55" w:type="dxa"/>
              <w:end w:w="80" w:type="dxa"/>
            </w:tcMar>
            <w:vAlign w:val="center"/>
          </w:tcPr>
          <w:p>
            <w:r>
              <w:rPr>
                <w:rFonts w:ascii="Times New Roman" w:hAnsi="Times New Roman"/>
                <w:sz w:val="20"/>
              </w:rPr>
              <w:t>1</w:t>
            </w:r>
          </w:p>
        </w:tc>
      </w:tr>
      <w:tr>
        <w:tc>
          <w:tcPr>
            <w:tcW w:type="dxa" w:w="1928"/>
            <w:tcMar>
              <w:top w:w="55" w:type="dxa"/>
              <w:start w:w="80" w:type="dxa"/>
              <w:bottom w:w="55" w:type="dxa"/>
              <w:end w:w="80" w:type="dxa"/>
            </w:tcMar>
            <w:vAlign w:val="center"/>
            <w:shd w:fill="F1F3EE"/>
          </w:tcPr>
          <w:p>
            <w:r>
              <w:rPr>
                <w:rFonts w:ascii="Times New Roman" w:hAnsi="Times New Roman"/>
                <w:b/>
                <w:sz w:val="20"/>
              </w:rPr>
              <w:t>Exhibit(s)</w:t>
            </w:r>
          </w:p>
        </w:tc>
        <w:tc>
          <w:tcPr>
            <w:tcW w:type="dxa" w:w="3515"/>
            <w:tcMar>
              <w:top w:w="55" w:type="dxa"/>
              <w:start w:w="80" w:type="dxa"/>
              <w:bottom w:w="55" w:type="dxa"/>
              <w:end w:w="80" w:type="dxa"/>
            </w:tcMar>
            <w:vAlign w:val="center"/>
          </w:tcPr>
          <w:p>
            <w:r>
              <w:rPr>
                <w:rFonts w:ascii="Times New Roman" w:hAnsi="Times New Roman"/>
                <w:sz w:val="20"/>
              </w:rPr>
              <w:t>AM1</w:t>
            </w:r>
          </w:p>
        </w:tc>
      </w:tr>
      <w:tr>
        <w:tc>
          <w:tcPr>
            <w:tcW w:type="dxa" w:w="1928"/>
            <w:tcMar>
              <w:top w:w="55" w:type="dxa"/>
              <w:start w:w="80" w:type="dxa"/>
              <w:bottom w:w="55" w:type="dxa"/>
              <w:end w:w="80" w:type="dxa"/>
            </w:tcMar>
            <w:vAlign w:val="center"/>
            <w:shd w:fill="F1F3EE"/>
          </w:tcPr>
          <w:p>
            <w:r>
              <w:rPr>
                <w:rFonts w:ascii="Times New Roman" w:hAnsi="Times New Roman"/>
                <w:b/>
                <w:sz w:val="20"/>
              </w:rPr>
              <w:t>Date made</w:t>
            </w:r>
          </w:p>
        </w:tc>
        <w:tc>
          <w:tcPr>
            <w:tcW w:type="dxa" w:w="3515"/>
            <w:tcMar>
              <w:top w:w="55" w:type="dxa"/>
              <w:start w:w="80" w:type="dxa"/>
              <w:bottom w:w="55" w:type="dxa"/>
              <w:end w:w="80" w:type="dxa"/>
            </w:tcMar>
            <w:vAlign w:val="center"/>
          </w:tcPr>
          <w:p>
            <w:r>
              <w:rPr>
                <w:rFonts w:ascii="Times New Roman" w:hAnsi="Times New Roman"/>
                <w:sz w:val="20"/>
              </w:rPr>
              <w:t>12 July 2026</w:t>
            </w:r>
          </w:p>
        </w:tc>
      </w:tr>
      <w:tr>
        <w:tc>
          <w:tcPr>
            <w:tcW w:type="dxa" w:w="1928"/>
            <w:tcMar>
              <w:top w:w="55" w:type="dxa"/>
              <w:start w:w="80" w:type="dxa"/>
              <w:bottom w:w="55" w:type="dxa"/>
              <w:end w:w="80" w:type="dxa"/>
            </w:tcMar>
            <w:vAlign w:val="center"/>
            <w:shd w:fill="F1F3EE"/>
          </w:tcPr>
          <w:p>
            <w:r>
              <w:rPr>
                <w:rFonts w:ascii="Times New Roman" w:hAnsi="Times New Roman"/>
                <w:b/>
                <w:sz w:val="20"/>
              </w:rPr>
              <w:t>Translation date</w:t>
            </w:r>
          </w:p>
        </w:tc>
        <w:tc>
          <w:tcPr>
            <w:tcW w:type="dxa" w:w="3515"/>
            <w:tcMar>
              <w:top w:w="55" w:type="dxa"/>
              <w:start w:w="80" w:type="dxa"/>
              <w:bottom w:w="55" w:type="dxa"/>
              <w:end w:w="80" w:type="dxa"/>
            </w:tcMar>
            <w:vAlign w:val="center"/>
          </w:tcPr>
          <w:p>
            <w:r>
              <w:rPr>
                <w:rFonts w:ascii="Times New Roman" w:hAnsi="Times New Roman"/>
                <w:sz w:val="20"/>
              </w:rPr>
              <w:t>None</w:t>
            </w:r>
          </w:p>
        </w:tc>
      </w:tr>
    </w:tbl>
    <w:p/>
    <w:p>
      <w:pPr>
        <w:jc w:val="center"/>
      </w:pPr>
      <w:r>
        <w:rPr>
          <w:b/>
          <w:sz w:val="24"/>
        </w:rPr>
        <w:t>IN THE COUNTY COURT AT EXAMPLE HEARING CENTRE</w:t>
        <w:br/>
        <w:t>Claim No. EXAMPLE-001</w:t>
        <w:br/>
        <w:t>BETWEEN:</w:t>
        <w:br/>
        <w:t>Alex Morgan Claimant</w:t>
        <w:br/>
        <w:t>and</w:t>
        <w:br/>
        <w:t>Example Freehold Ltd Defendant</w:t>
      </w:r>
    </w:p>
    <w:p>
      <w:pPr>
        <w:pStyle w:val="Title"/>
      </w:pPr>
      <w:r>
        <w:t>FIRST WITNESS STATEMENT OF ALEX MORGAN — FICTIONAL COMPLETED EXAMPLE</w:t>
      </w:r>
    </w:p>
    <w:p>
      <w:pPr>
        <w:pStyle w:val="Heading1"/>
      </w:pPr>
      <w:r>
        <w:t>Introduction, status and preparation</w:t>
      </w:r>
    </w:p>
    <w:p>
      <w:r>
        <w:t>1. I am Alex Morgan, of Flat 2, Example House, 10 Example Street, Exampleton. I am a project coordinator, the leaseholder of Flat 2 and the claimant in this case. I make this statement in support of my claim for repayment of service charges.</w:t>
      </w:r>
    </w:p>
    <w:p>
      <w:r>
        <w:t>2. I prepared this statement personally in English by drafting it on my computer from my own records and then checking each date, amount and reference against the documents identified below.</w:t>
      </w:r>
    </w:p>
    <w:p>
      <w:r>
        <w:t>3. Unless I say otherwise, the facts in this statement are within my own knowledge. Where I describe the contents of a document or information supplied by another person, I identify that source.</w:t>
      </w:r>
    </w:p>
    <w:p>
      <w:pPr>
        <w:pStyle w:val="Heading1"/>
      </w:pPr>
      <w:r>
        <w:t>Parties, property and relevant relationship</w:t>
      </w:r>
    </w:p>
    <w:p>
      <w:r>
        <w:t>4. I became the leaseholder of Flat 2 on 14 September 2021. The lease states that my share of the relevant service-charge expenditure is 25%. I refer to the lease extract marked AM1 at pages 1–8.</w:t>
      </w:r>
    </w:p>
    <w:p>
      <w:r>
        <w:t>5. Example Freehold Ltd is identified as the landlord in the lease and in the service-charge demands. That statement comes from the lease and demands at AM1, pages 1–14; I do not rely on my own knowledge of its corporate arrangements.</w:t>
      </w:r>
    </w:p>
    <w:p>
      <w:pPr>
        <w:pStyle w:val="Heading1"/>
      </w:pPr>
      <w:r>
        <w:t>Service charges and the FTT decision</w:t>
      </w:r>
    </w:p>
    <w:p>
      <w:r>
        <w:t>6. On 8 January 2025 I received the 2024 year-end service-charge account by email. The account and demand are at AM1, pages 9–14. I paid the demanded amount of £2,400 by bank transfer on 20 January 2025. The payment entry is at AM1, page 15.</w:t>
      </w:r>
    </w:p>
    <w:p>
      <w:r>
        <w:t>7. On 2 May 2026 the First-tier Tribunal issued a decision in the fictional case reference EX/00AB/LSC/2025/0001. The decision is at hearing-bundle pages 45–58. Paragraphs 42–49 record that specified items totalling £1,420 were not payable. This is my summary of the document, not a matter I observed personally.</w:t>
      </w:r>
    </w:p>
    <w:p>
      <w:r>
        <w:t>8. I have read the decision and cannot identify any paragraph directing the defendant to pay me £1,420. In this claim I rely on the decision for the findings recorded in it and on the separate repayment calculation described below.</w:t>
      </w:r>
    </w:p>
    <w:p>
      <w:pPr>
        <w:pStyle w:val="Heading1"/>
      </w:pPr>
      <w:r>
        <w:t>Request for repayment and account position</w:t>
      </w:r>
    </w:p>
    <w:p>
      <w:r>
        <w:t>9. On 10 June 2026 I wrote to the defendant asking it to repay £1,420 or credit that amount to my account. My letter is at AM1, pages 16–18.</w:t>
      </w:r>
    </w:p>
    <w:p>
      <w:r>
        <w:t>10. The defendant replied on 18 June 2026. The response, at AM1, pages 19–20, did not identify any repayment or credit. I checked the account statement supplied with it and could not find an entry for £1,420.</w:t>
      </w:r>
    </w:p>
    <w:p>
      <w:r>
        <w:t>11. The calculation at AM1, pages 21–22 starts with the individual items identified in paragraphs 42–49 of the FTT decision, records the £2,400 payment and checks for later credits. It produces principal of £1,420. I checked each entry against the decision, the demand, my bank entry and the later account statement.</w:t>
      </w:r>
    </w:p>
    <w:p>
      <w:pPr>
        <w:pStyle w:val="Heading1"/>
      </w:pPr>
      <w:r>
        <w:t>Response to the signed-document point</w:t>
      </w:r>
    </w:p>
    <w:p>
      <w:r>
        <w:t>12. Paragraph 7 of the defence, at hearing-bundle pages 12–15, says that I accepted the 2024 account by signing an account-receipt form on 14 January 2025.</w:t>
      </w:r>
    </w:p>
    <w:p>
      <w:r>
        <w:t>13. I signed the form when the managing agent gave me a copy of the annual account. The form is at AM1, page 23. Its heading is ‘Receipt of annual account’. I wrote the date and my signature in the boxes provided.</w:t>
      </w:r>
    </w:p>
    <w:p>
      <w:r>
        <w:t>14. No one said to me that the form settled a dispute or waived a repayment claim. I did not discuss the FTT proceedings when I signed it, and I was not paid or given any credit in exchange for signing. Those statements are based on what I personally saw, heard and did.</w:t>
      </w:r>
    </w:p>
    <w:p>
      <w:r>
        <w:t>15. The legal effect of the form is a matter for the court. My evidence is limited to the document itself and the circumstances in which I signed it.</w:t>
      </w:r>
    </w:p>
    <w:p>
      <w:pPr>
        <w:pStyle w:val="Heading1"/>
      </w:pPr>
      <w:r>
        <w:t>Amount remaining and conclusion</w:t>
      </w:r>
    </w:p>
    <w:p>
      <w:r>
        <w:t>16. As at 12 July 2026, I have not received a repayment or account credit for the £1,420 shown in the calculation. My source is my bank record and the account statement at AM1, pages 15 and 24–26.</w:t>
      </w:r>
    </w:p>
    <w:p>
      <w:r>
        <w:t>17. I ask the court to consider this factual evidence with the pleaded legal basis and the documents in the hearing bundle. I have not included anything said or offered in mediation.</w:t>
      </w:r>
    </w:p>
    <w:p>
      <w:pPr>
        <w:pStyle w:val="Heading1"/>
      </w:pPr>
      <w:r>
        <w:t>Court and case documents referred to</w:t>
      </w:r>
    </w:p>
    <w:tbl>
      <w:tblPr>
        <w:tblStyle w:val="TableGrid"/>
        <w:tblW w:type="auto" w:w="0"/>
        <w:jc w:val="center"/>
        <w:tblLayout w:type="fixed"/>
        <w:tblLook w:firstColumn="1" w:firstRow="1" w:lastColumn="0" w:lastRow="0" w:noHBand="0" w:noVBand="1" w:val="04A0"/>
      </w:tblPr>
      <w:tblGrid>
        <w:gridCol w:w="4082"/>
        <w:gridCol w:w="2948"/>
        <w:gridCol w:w="2381"/>
      </w:tblGrid>
      <w:tr>
        <w:trPr>
          <w:tblHeader w:val="true"/>
          <w:cantSplit/>
        </w:trPr>
        <w:tc>
          <w:tcPr>
            <w:tcW w:type="dxa" w:w="4082"/>
            <w:shd w:fill="E6E6E6"/>
            <w:tcMar>
              <w:top w:w="110" w:type="dxa"/>
              <w:start w:w="120" w:type="dxa"/>
              <w:bottom w:w="110" w:type="dxa"/>
              <w:end w:w="120" w:type="dxa"/>
            </w:tcMar>
            <w:vAlign w:val="center"/>
          </w:tcPr>
          <w:p>
            <w:r>
              <w:rPr>
                <w:b/>
                <w:color w:val="000000"/>
                <w:sz w:val="20"/>
              </w:rPr>
              <w:t>Document</w:t>
            </w:r>
          </w:p>
        </w:tc>
        <w:tc>
          <w:tcPr>
            <w:tcW w:type="dxa" w:w="2948"/>
            <w:shd w:fill="E6E6E6"/>
            <w:tcMar>
              <w:top w:w="110" w:type="dxa"/>
              <w:start w:w="120" w:type="dxa"/>
              <w:bottom w:w="110" w:type="dxa"/>
              <w:end w:w="120" w:type="dxa"/>
            </w:tcMar>
            <w:vAlign w:val="center"/>
          </w:tcPr>
          <w:p>
            <w:r>
              <w:rPr>
                <w:b/>
                <w:color w:val="000000"/>
                <w:sz w:val="20"/>
              </w:rPr>
              <w:t>Relevant part</w:t>
            </w:r>
          </w:p>
        </w:tc>
        <w:tc>
          <w:tcPr>
            <w:tcW w:type="dxa" w:w="2381"/>
            <w:shd w:fill="E6E6E6"/>
            <w:tcMar>
              <w:top w:w="110" w:type="dxa"/>
              <w:start w:w="120" w:type="dxa"/>
              <w:bottom w:w="110" w:type="dxa"/>
              <w:end w:w="120" w:type="dxa"/>
            </w:tcMar>
            <w:vAlign w:val="center"/>
          </w:tcPr>
          <w:p>
            <w:r>
              <w:rPr>
                <w:b/>
                <w:color w:val="000000"/>
                <w:sz w:val="20"/>
              </w:rPr>
              <w:t>Hearing-bundle pages</w:t>
            </w:r>
          </w:p>
        </w:tc>
      </w:tr>
      <w:tr>
        <w:trPr>
          <w:cantSplit/>
        </w:trPr>
        <w:tc>
          <w:tcPr>
            <w:tcW w:type="dxa" w:w="4082"/>
            <w:tcMar>
              <w:top w:w="110" w:type="dxa"/>
              <w:start w:w="120" w:type="dxa"/>
              <w:bottom w:w="110" w:type="dxa"/>
              <w:end w:w="120" w:type="dxa"/>
            </w:tcMar>
          </w:tcPr>
          <w:p>
            <w:r>
              <w:rPr>
                <w:sz w:val="20"/>
              </w:rPr>
              <w:t>Defence</w:t>
            </w:r>
          </w:p>
        </w:tc>
        <w:tc>
          <w:tcPr>
            <w:tcW w:type="dxa" w:w="2948"/>
            <w:tcMar>
              <w:top w:w="110" w:type="dxa"/>
              <w:start w:w="120" w:type="dxa"/>
              <w:bottom w:w="110" w:type="dxa"/>
              <w:end w:w="120" w:type="dxa"/>
            </w:tcMar>
          </w:tcPr>
          <w:p>
            <w:r>
              <w:rPr>
                <w:sz w:val="20"/>
              </w:rPr>
              <w:t>Paragraph 7</w:t>
            </w:r>
          </w:p>
        </w:tc>
        <w:tc>
          <w:tcPr>
            <w:tcW w:type="dxa" w:w="2381"/>
            <w:tcMar>
              <w:top w:w="110" w:type="dxa"/>
              <w:start w:w="120" w:type="dxa"/>
              <w:bottom w:w="110" w:type="dxa"/>
              <w:end w:w="120" w:type="dxa"/>
            </w:tcMar>
          </w:tcPr>
          <w:p>
            <w:r>
              <w:rPr>
                <w:sz w:val="20"/>
              </w:rPr>
              <w:t>12–15</w:t>
            </w:r>
          </w:p>
        </w:tc>
      </w:tr>
      <w:tr>
        <w:trPr>
          <w:cantSplit/>
        </w:trPr>
        <w:tc>
          <w:tcPr>
            <w:tcW w:type="dxa" w:w="4082"/>
            <w:tcMar>
              <w:top w:w="110" w:type="dxa"/>
              <w:start w:w="120" w:type="dxa"/>
              <w:bottom w:w="110" w:type="dxa"/>
              <w:end w:w="120" w:type="dxa"/>
            </w:tcMar>
          </w:tcPr>
          <w:p>
            <w:r>
              <w:rPr>
                <w:sz w:val="20"/>
              </w:rPr>
              <w:t>FTT decision dated 2 May 2026</w:t>
            </w:r>
          </w:p>
        </w:tc>
        <w:tc>
          <w:tcPr>
            <w:tcW w:type="dxa" w:w="2948"/>
            <w:tcMar>
              <w:top w:w="110" w:type="dxa"/>
              <w:start w:w="120" w:type="dxa"/>
              <w:bottom w:w="110" w:type="dxa"/>
              <w:end w:w="120" w:type="dxa"/>
            </w:tcMar>
          </w:tcPr>
          <w:p>
            <w:r>
              <w:rPr>
                <w:sz w:val="20"/>
              </w:rPr>
              <w:t>Paragraphs 42–49</w:t>
            </w:r>
          </w:p>
        </w:tc>
        <w:tc>
          <w:tcPr>
            <w:tcW w:type="dxa" w:w="2381"/>
            <w:tcMar>
              <w:top w:w="110" w:type="dxa"/>
              <w:start w:w="120" w:type="dxa"/>
              <w:bottom w:w="110" w:type="dxa"/>
              <w:end w:w="120" w:type="dxa"/>
            </w:tcMar>
          </w:tcPr>
          <w:p>
            <w:r>
              <w:rPr>
                <w:sz w:val="20"/>
              </w:rPr>
              <w:t>45–58</w:t>
            </w:r>
          </w:p>
        </w:tc>
      </w:tr>
    </w:tbl>
    <w:p/>
    <w:p>
      <w:pPr>
        <w:pStyle w:val="Heading1"/>
        <w:keepNext/>
      </w:pPr>
      <w:r>
        <w:t>Statement of truth</w:t>
      </w:r>
    </w:p>
    <w:p>
      <w:pPr>
        <w:keepNext/>
      </w:pPr>
      <w:r>
        <w:t>I believe that the facts stated in this witness statement are true. I understand that proceedings for contempt of court may be brought against anyone who makes, or causes to be made, a false statement in a document verified by a statement of truth without an honest belief in its truth.</w:t>
      </w:r>
    </w:p>
    <w:p>
      <w:pPr>
        <w:keepNext w:val="0"/>
      </w:pPr>
      <w:r>
        <w:t>Signed: Alex Morgan    Dated: 12 July 2026</w:t>
      </w:r>
    </w:p>
    <w:p>
      <w:r>
        <w:br w:type="page"/>
      </w:r>
    </w:p>
    <w:tbl>
      <w:tblPr>
        <w:tblStyle w:val="TableGrid"/>
        <w:tblW w:type="auto" w:w="0"/>
        <w:jc w:val="right"/>
        <w:tblLayout w:type="fixed"/>
        <w:tblLook w:firstColumn="1" w:firstRow="1" w:lastColumn="0" w:lastRow="0" w:noHBand="0" w:noVBand="1" w:val="04A0"/>
      </w:tblPr>
      <w:tblGrid>
        <w:gridCol w:w="4337"/>
        <w:gridCol w:w="4337"/>
      </w:tblGrid>
      <w:tr>
        <w:tc>
          <w:tcPr>
            <w:tcW w:type="dxa" w:w="1928"/>
            <w:tcMar>
              <w:top w:w="55" w:type="dxa"/>
              <w:start w:w="80" w:type="dxa"/>
              <w:bottom w:w="55" w:type="dxa"/>
              <w:end w:w="80" w:type="dxa"/>
            </w:tcMar>
            <w:vAlign w:val="center"/>
            <w:shd w:fill="F1F3EE"/>
          </w:tcPr>
          <w:p>
            <w:r>
              <w:rPr>
                <w:rFonts w:ascii="Times New Roman" w:hAnsi="Times New Roman"/>
                <w:b/>
                <w:sz w:val="20"/>
              </w:rPr>
              <w:t>Party on whose behalf</w:t>
            </w:r>
          </w:p>
        </w:tc>
        <w:tc>
          <w:tcPr>
            <w:tcW w:type="dxa" w:w="3515"/>
            <w:tcMar>
              <w:top w:w="55" w:type="dxa"/>
              <w:start w:w="80" w:type="dxa"/>
              <w:bottom w:w="55" w:type="dxa"/>
              <w:end w:w="80" w:type="dxa"/>
            </w:tcMar>
            <w:vAlign w:val="center"/>
          </w:tcPr>
          <w:p>
            <w:r>
              <w:rPr>
                <w:rFonts w:ascii="Times New Roman" w:hAnsi="Times New Roman"/>
                <w:sz w:val="20"/>
              </w:rPr>
              <w:t>Claimant</w:t>
            </w:r>
          </w:p>
        </w:tc>
      </w:tr>
      <w:tr>
        <w:tc>
          <w:tcPr>
            <w:tcW w:type="dxa" w:w="1928"/>
            <w:tcMar>
              <w:top w:w="55" w:type="dxa"/>
              <w:start w:w="80" w:type="dxa"/>
              <w:bottom w:w="55" w:type="dxa"/>
              <w:end w:w="80" w:type="dxa"/>
            </w:tcMar>
            <w:vAlign w:val="center"/>
            <w:shd w:fill="F1F3EE"/>
          </w:tcPr>
          <w:p>
            <w:r>
              <w:rPr>
                <w:rFonts w:ascii="Times New Roman" w:hAnsi="Times New Roman"/>
                <w:b/>
                <w:sz w:val="20"/>
              </w:rPr>
              <w:t>Witness</w:t>
            </w:r>
          </w:p>
        </w:tc>
        <w:tc>
          <w:tcPr>
            <w:tcW w:type="dxa" w:w="3515"/>
            <w:tcMar>
              <w:top w:w="55" w:type="dxa"/>
              <w:start w:w="80" w:type="dxa"/>
              <w:bottom w:w="55" w:type="dxa"/>
              <w:end w:w="80" w:type="dxa"/>
            </w:tcMar>
            <w:vAlign w:val="center"/>
          </w:tcPr>
          <w:p>
            <w:r>
              <w:rPr>
                <w:rFonts w:ascii="Times New Roman" w:hAnsi="Times New Roman"/>
                <w:sz w:val="20"/>
              </w:rPr>
              <w:t>A Morgan</w:t>
            </w:r>
          </w:p>
        </w:tc>
      </w:tr>
      <w:tr>
        <w:tc>
          <w:tcPr>
            <w:tcW w:type="dxa" w:w="1928"/>
            <w:tcMar>
              <w:top w:w="55" w:type="dxa"/>
              <w:start w:w="80" w:type="dxa"/>
              <w:bottom w:w="55" w:type="dxa"/>
              <w:end w:w="80" w:type="dxa"/>
            </w:tcMar>
            <w:vAlign w:val="center"/>
            <w:shd w:fill="F1F3EE"/>
          </w:tcPr>
          <w:p>
            <w:r>
              <w:rPr>
                <w:rFonts w:ascii="Times New Roman" w:hAnsi="Times New Roman"/>
                <w:b/>
                <w:sz w:val="20"/>
              </w:rPr>
              <w:t>Statement number</w:t>
            </w:r>
          </w:p>
        </w:tc>
        <w:tc>
          <w:tcPr>
            <w:tcW w:type="dxa" w:w="3515"/>
            <w:tcMar>
              <w:top w:w="55" w:type="dxa"/>
              <w:start w:w="80" w:type="dxa"/>
              <w:bottom w:w="55" w:type="dxa"/>
              <w:end w:w="80" w:type="dxa"/>
            </w:tcMar>
            <w:vAlign w:val="center"/>
          </w:tcPr>
          <w:p>
            <w:r>
              <w:rPr>
                <w:rFonts w:ascii="Times New Roman" w:hAnsi="Times New Roman"/>
                <w:sz w:val="20"/>
              </w:rPr>
              <w:t>1</w:t>
            </w:r>
          </w:p>
        </w:tc>
      </w:tr>
      <w:tr>
        <w:tc>
          <w:tcPr>
            <w:tcW w:type="dxa" w:w="1928"/>
            <w:tcMar>
              <w:top w:w="55" w:type="dxa"/>
              <w:start w:w="80" w:type="dxa"/>
              <w:bottom w:w="55" w:type="dxa"/>
              <w:end w:w="80" w:type="dxa"/>
            </w:tcMar>
            <w:vAlign w:val="center"/>
            <w:shd w:fill="F1F3EE"/>
          </w:tcPr>
          <w:p>
            <w:r>
              <w:rPr>
                <w:rFonts w:ascii="Times New Roman" w:hAnsi="Times New Roman"/>
                <w:b/>
                <w:sz w:val="20"/>
              </w:rPr>
              <w:t>Exhibit</w:t>
            </w:r>
          </w:p>
        </w:tc>
        <w:tc>
          <w:tcPr>
            <w:tcW w:type="dxa" w:w="3515"/>
            <w:tcMar>
              <w:top w:w="55" w:type="dxa"/>
              <w:start w:w="80" w:type="dxa"/>
              <w:bottom w:w="55" w:type="dxa"/>
              <w:end w:w="80" w:type="dxa"/>
            </w:tcMar>
            <w:vAlign w:val="center"/>
          </w:tcPr>
          <w:p>
            <w:r>
              <w:rPr>
                <w:rFonts w:ascii="Times New Roman" w:hAnsi="Times New Roman"/>
                <w:sz w:val="20"/>
              </w:rPr>
              <w:t>AM1</w:t>
            </w:r>
          </w:p>
        </w:tc>
      </w:tr>
      <w:tr>
        <w:tc>
          <w:tcPr>
            <w:tcW w:type="dxa" w:w="1928"/>
            <w:tcMar>
              <w:top w:w="55" w:type="dxa"/>
              <w:start w:w="80" w:type="dxa"/>
              <w:bottom w:w="55" w:type="dxa"/>
              <w:end w:w="80" w:type="dxa"/>
            </w:tcMar>
            <w:vAlign w:val="center"/>
            <w:shd w:fill="F1F3EE"/>
          </w:tcPr>
          <w:p>
            <w:r>
              <w:rPr>
                <w:rFonts w:ascii="Times New Roman" w:hAnsi="Times New Roman"/>
                <w:b/>
                <w:sz w:val="20"/>
              </w:rPr>
              <w:t>Date made</w:t>
            </w:r>
          </w:p>
        </w:tc>
        <w:tc>
          <w:tcPr>
            <w:tcW w:type="dxa" w:w="3515"/>
            <w:tcMar>
              <w:top w:w="55" w:type="dxa"/>
              <w:start w:w="80" w:type="dxa"/>
              <w:bottom w:w="55" w:type="dxa"/>
              <w:end w:w="80" w:type="dxa"/>
            </w:tcMar>
            <w:vAlign w:val="center"/>
          </w:tcPr>
          <w:p>
            <w:r>
              <w:rPr>
                <w:rFonts w:ascii="Times New Roman" w:hAnsi="Times New Roman"/>
                <w:sz w:val="20"/>
              </w:rPr>
              <w:t>12 July 2026</w:t>
            </w:r>
          </w:p>
        </w:tc>
      </w:tr>
    </w:tbl>
    <w:p/>
    <w:p>
      <w:pPr>
        <w:pStyle w:val="Heading1"/>
      </w:pPr>
      <w:r>
        <w:t>Exhibit AM1 — cover and index</w:t>
      </w:r>
    </w:p>
    <w:p>
      <w:r>
        <w:t>This is the exhibit marked AM1 referred to in the first witness statement of Alex Morgan dated 12 July 2026. The example documents themselves are not reproduced in this public download.</w:t>
      </w:r>
    </w:p>
    <w:tbl>
      <w:tblPr>
        <w:tblStyle w:val="TableGrid"/>
        <w:tblW w:type="auto" w:w="0"/>
        <w:jc w:val="center"/>
        <w:tblLayout w:type="fixed"/>
        <w:tblLook w:firstColumn="1" w:firstRow="1" w:lastColumn="0" w:lastRow="0" w:noHBand="0" w:noVBand="1" w:val="04A0"/>
      </w:tblPr>
      <w:tblGrid>
        <w:gridCol w:w="1191"/>
        <w:gridCol w:w="2948"/>
        <w:gridCol w:w="1757"/>
        <w:gridCol w:w="3515"/>
      </w:tblGrid>
      <w:tr>
        <w:trPr>
          <w:tblHeader w:val="true"/>
          <w:cantSplit/>
        </w:trPr>
        <w:tc>
          <w:tcPr>
            <w:tcW w:type="dxa" w:w="1191"/>
            <w:shd w:fill="E6E6E6"/>
            <w:tcMar>
              <w:top w:w="110" w:type="dxa"/>
              <w:start w:w="120" w:type="dxa"/>
              <w:bottom w:w="110" w:type="dxa"/>
              <w:end w:w="120" w:type="dxa"/>
            </w:tcMar>
            <w:vAlign w:val="center"/>
          </w:tcPr>
          <w:p>
            <w:r>
              <w:rPr>
                <w:b/>
                <w:color w:val="000000"/>
                <w:sz w:val="20"/>
              </w:rPr>
              <w:t>Pages</w:t>
            </w:r>
          </w:p>
        </w:tc>
        <w:tc>
          <w:tcPr>
            <w:tcW w:type="dxa" w:w="2948"/>
            <w:shd w:fill="E6E6E6"/>
            <w:tcMar>
              <w:top w:w="110" w:type="dxa"/>
              <w:start w:w="120" w:type="dxa"/>
              <w:bottom w:w="110" w:type="dxa"/>
              <w:end w:w="120" w:type="dxa"/>
            </w:tcMar>
            <w:vAlign w:val="center"/>
          </w:tcPr>
          <w:p>
            <w:r>
              <w:rPr>
                <w:b/>
                <w:color w:val="000000"/>
                <w:sz w:val="20"/>
              </w:rPr>
              <w:t>Document</w:t>
            </w:r>
          </w:p>
        </w:tc>
        <w:tc>
          <w:tcPr>
            <w:tcW w:type="dxa" w:w="1757"/>
            <w:shd w:fill="E6E6E6"/>
            <w:tcMar>
              <w:top w:w="110" w:type="dxa"/>
              <w:start w:w="120" w:type="dxa"/>
              <w:bottom w:w="110" w:type="dxa"/>
              <w:end w:w="120" w:type="dxa"/>
            </w:tcMar>
            <w:vAlign w:val="center"/>
          </w:tcPr>
          <w:p>
            <w:r>
              <w:rPr>
                <w:b/>
                <w:color w:val="000000"/>
                <w:sz w:val="20"/>
              </w:rPr>
              <w:t>Date</w:t>
            </w:r>
          </w:p>
        </w:tc>
        <w:tc>
          <w:tcPr>
            <w:tcW w:type="dxa" w:w="3515"/>
            <w:shd w:fill="E6E6E6"/>
            <w:tcMar>
              <w:top w:w="110" w:type="dxa"/>
              <w:start w:w="120" w:type="dxa"/>
              <w:bottom w:w="110" w:type="dxa"/>
              <w:end w:w="120" w:type="dxa"/>
            </w:tcMar>
            <w:vAlign w:val="center"/>
          </w:tcPr>
          <w:p>
            <w:r>
              <w:rPr>
                <w:b/>
                <w:color w:val="000000"/>
                <w:sz w:val="20"/>
              </w:rPr>
              <w:t>Why it is included</w:t>
            </w:r>
          </w:p>
        </w:tc>
      </w:tr>
      <w:tr>
        <w:trPr>
          <w:cantSplit/>
        </w:trPr>
        <w:tc>
          <w:tcPr>
            <w:tcW w:type="dxa" w:w="1191"/>
            <w:tcMar>
              <w:top w:w="110" w:type="dxa"/>
              <w:start w:w="120" w:type="dxa"/>
              <w:bottom w:w="110" w:type="dxa"/>
              <w:end w:w="120" w:type="dxa"/>
            </w:tcMar>
          </w:tcPr>
          <w:p>
            <w:r>
              <w:rPr>
                <w:sz w:val="20"/>
              </w:rPr>
              <w:t>1–8</w:t>
            </w:r>
          </w:p>
        </w:tc>
        <w:tc>
          <w:tcPr>
            <w:tcW w:type="dxa" w:w="2948"/>
            <w:tcMar>
              <w:top w:w="110" w:type="dxa"/>
              <w:start w:w="120" w:type="dxa"/>
              <w:bottom w:w="110" w:type="dxa"/>
              <w:end w:w="120" w:type="dxa"/>
            </w:tcMar>
          </w:tcPr>
          <w:p>
            <w:r>
              <w:rPr>
                <w:sz w:val="20"/>
              </w:rPr>
              <w:t>Lease extract</w:t>
            </w:r>
          </w:p>
        </w:tc>
        <w:tc>
          <w:tcPr>
            <w:tcW w:type="dxa" w:w="1757"/>
            <w:tcMar>
              <w:top w:w="110" w:type="dxa"/>
              <w:start w:w="120" w:type="dxa"/>
              <w:bottom w:w="110" w:type="dxa"/>
              <w:end w:w="120" w:type="dxa"/>
            </w:tcMar>
          </w:tcPr>
          <w:p>
            <w:r>
              <w:rPr>
                <w:sz w:val="20"/>
              </w:rPr>
              <w:t>14 September 2021</w:t>
            </w:r>
          </w:p>
        </w:tc>
        <w:tc>
          <w:tcPr>
            <w:tcW w:type="dxa" w:w="3515"/>
            <w:tcMar>
              <w:top w:w="110" w:type="dxa"/>
              <w:start w:w="120" w:type="dxa"/>
              <w:bottom w:w="110" w:type="dxa"/>
              <w:end w:w="120" w:type="dxa"/>
            </w:tcMar>
          </w:tcPr>
          <w:p>
            <w:r>
              <w:rPr>
                <w:sz w:val="20"/>
              </w:rPr>
              <w:t>Leaseholder status, landlord identity and 25% share</w:t>
            </w:r>
          </w:p>
        </w:tc>
      </w:tr>
      <w:tr>
        <w:trPr>
          <w:cantSplit/>
        </w:trPr>
        <w:tc>
          <w:tcPr>
            <w:tcW w:type="dxa" w:w="1191"/>
            <w:tcMar>
              <w:top w:w="110" w:type="dxa"/>
              <w:start w:w="120" w:type="dxa"/>
              <w:bottom w:w="110" w:type="dxa"/>
              <w:end w:w="120" w:type="dxa"/>
            </w:tcMar>
          </w:tcPr>
          <w:p>
            <w:r>
              <w:rPr>
                <w:sz w:val="20"/>
              </w:rPr>
              <w:t>9–14</w:t>
            </w:r>
          </w:p>
        </w:tc>
        <w:tc>
          <w:tcPr>
            <w:tcW w:type="dxa" w:w="2948"/>
            <w:tcMar>
              <w:top w:w="110" w:type="dxa"/>
              <w:start w:w="120" w:type="dxa"/>
              <w:bottom w:w="110" w:type="dxa"/>
              <w:end w:w="120" w:type="dxa"/>
            </w:tcMar>
          </w:tcPr>
          <w:p>
            <w:r>
              <w:rPr>
                <w:sz w:val="20"/>
              </w:rPr>
              <w:t>2024 account and demand</w:t>
            </w:r>
          </w:p>
        </w:tc>
        <w:tc>
          <w:tcPr>
            <w:tcW w:type="dxa" w:w="1757"/>
            <w:tcMar>
              <w:top w:w="110" w:type="dxa"/>
              <w:start w:w="120" w:type="dxa"/>
              <w:bottom w:w="110" w:type="dxa"/>
              <w:end w:w="120" w:type="dxa"/>
            </w:tcMar>
          </w:tcPr>
          <w:p>
            <w:r>
              <w:rPr>
                <w:sz w:val="20"/>
              </w:rPr>
              <w:t>8 January 2025</w:t>
            </w:r>
          </w:p>
        </w:tc>
        <w:tc>
          <w:tcPr>
            <w:tcW w:type="dxa" w:w="3515"/>
            <w:tcMar>
              <w:top w:w="110" w:type="dxa"/>
              <w:start w:w="120" w:type="dxa"/>
              <w:bottom w:w="110" w:type="dxa"/>
              <w:end w:w="120" w:type="dxa"/>
            </w:tcMar>
          </w:tcPr>
          <w:p>
            <w:r>
              <w:rPr>
                <w:sz w:val="20"/>
              </w:rPr>
              <w:t>Amount demanded and account description</w:t>
            </w:r>
          </w:p>
        </w:tc>
      </w:tr>
      <w:tr>
        <w:trPr>
          <w:cantSplit/>
        </w:trPr>
        <w:tc>
          <w:tcPr>
            <w:tcW w:type="dxa" w:w="1191"/>
            <w:tcMar>
              <w:top w:w="110" w:type="dxa"/>
              <w:start w:w="120" w:type="dxa"/>
              <w:bottom w:w="110" w:type="dxa"/>
              <w:end w:w="120" w:type="dxa"/>
            </w:tcMar>
          </w:tcPr>
          <w:p>
            <w:r>
              <w:rPr>
                <w:sz w:val="20"/>
              </w:rPr>
              <w:t>15</w:t>
            </w:r>
          </w:p>
        </w:tc>
        <w:tc>
          <w:tcPr>
            <w:tcW w:type="dxa" w:w="2948"/>
            <w:tcMar>
              <w:top w:w="110" w:type="dxa"/>
              <w:start w:w="120" w:type="dxa"/>
              <w:bottom w:w="110" w:type="dxa"/>
              <w:end w:w="120" w:type="dxa"/>
            </w:tcMar>
          </w:tcPr>
          <w:p>
            <w:r>
              <w:rPr>
                <w:sz w:val="20"/>
              </w:rPr>
              <w:t>Bank payment entry</w:t>
            </w:r>
          </w:p>
        </w:tc>
        <w:tc>
          <w:tcPr>
            <w:tcW w:type="dxa" w:w="1757"/>
            <w:tcMar>
              <w:top w:w="110" w:type="dxa"/>
              <w:start w:w="120" w:type="dxa"/>
              <w:bottom w:w="110" w:type="dxa"/>
              <w:end w:w="120" w:type="dxa"/>
            </w:tcMar>
          </w:tcPr>
          <w:p>
            <w:r>
              <w:rPr>
                <w:sz w:val="20"/>
              </w:rPr>
              <w:t>20 January 2025</w:t>
            </w:r>
          </w:p>
        </w:tc>
        <w:tc>
          <w:tcPr>
            <w:tcW w:type="dxa" w:w="3515"/>
            <w:tcMar>
              <w:top w:w="110" w:type="dxa"/>
              <w:start w:w="120" w:type="dxa"/>
              <w:bottom w:w="110" w:type="dxa"/>
              <w:end w:w="120" w:type="dxa"/>
            </w:tcMar>
          </w:tcPr>
          <w:p>
            <w:r>
              <w:rPr>
                <w:sz w:val="20"/>
              </w:rPr>
              <w:t>Payment of £2,400</w:t>
            </w:r>
          </w:p>
        </w:tc>
      </w:tr>
      <w:tr>
        <w:trPr>
          <w:cantSplit/>
        </w:trPr>
        <w:tc>
          <w:tcPr>
            <w:tcW w:type="dxa" w:w="1191"/>
            <w:tcMar>
              <w:top w:w="110" w:type="dxa"/>
              <w:start w:w="120" w:type="dxa"/>
              <w:bottom w:w="110" w:type="dxa"/>
              <w:end w:w="120" w:type="dxa"/>
            </w:tcMar>
          </w:tcPr>
          <w:p>
            <w:r>
              <w:rPr>
                <w:sz w:val="20"/>
              </w:rPr>
              <w:t>16–18</w:t>
            </w:r>
          </w:p>
        </w:tc>
        <w:tc>
          <w:tcPr>
            <w:tcW w:type="dxa" w:w="2948"/>
            <w:tcMar>
              <w:top w:w="110" w:type="dxa"/>
              <w:start w:w="120" w:type="dxa"/>
              <w:bottom w:w="110" w:type="dxa"/>
              <w:end w:w="120" w:type="dxa"/>
            </w:tcMar>
          </w:tcPr>
          <w:p>
            <w:r>
              <w:rPr>
                <w:sz w:val="20"/>
              </w:rPr>
              <w:t>Repayment request</w:t>
            </w:r>
          </w:p>
        </w:tc>
        <w:tc>
          <w:tcPr>
            <w:tcW w:type="dxa" w:w="1757"/>
            <w:tcMar>
              <w:top w:w="110" w:type="dxa"/>
              <w:start w:w="120" w:type="dxa"/>
              <w:bottom w:w="110" w:type="dxa"/>
              <w:end w:w="120" w:type="dxa"/>
            </w:tcMar>
          </w:tcPr>
          <w:p>
            <w:r>
              <w:rPr>
                <w:sz w:val="20"/>
              </w:rPr>
              <w:t>10 June 2026</w:t>
            </w:r>
          </w:p>
        </w:tc>
        <w:tc>
          <w:tcPr>
            <w:tcW w:type="dxa" w:w="3515"/>
            <w:tcMar>
              <w:top w:w="110" w:type="dxa"/>
              <w:start w:w="120" w:type="dxa"/>
              <w:bottom w:w="110" w:type="dxa"/>
              <w:end w:w="120" w:type="dxa"/>
            </w:tcMar>
          </w:tcPr>
          <w:p>
            <w:r>
              <w:rPr>
                <w:sz w:val="20"/>
              </w:rPr>
              <w:t>Request for £1,420 repayment or credit</w:t>
            </w:r>
          </w:p>
        </w:tc>
      </w:tr>
      <w:tr>
        <w:trPr>
          <w:cantSplit/>
        </w:trPr>
        <w:tc>
          <w:tcPr>
            <w:tcW w:type="dxa" w:w="1191"/>
            <w:tcMar>
              <w:top w:w="110" w:type="dxa"/>
              <w:start w:w="120" w:type="dxa"/>
              <w:bottom w:w="110" w:type="dxa"/>
              <w:end w:w="120" w:type="dxa"/>
            </w:tcMar>
          </w:tcPr>
          <w:p>
            <w:r>
              <w:rPr>
                <w:sz w:val="20"/>
              </w:rPr>
              <w:t>19–20</w:t>
            </w:r>
          </w:p>
        </w:tc>
        <w:tc>
          <w:tcPr>
            <w:tcW w:type="dxa" w:w="2948"/>
            <w:tcMar>
              <w:top w:w="110" w:type="dxa"/>
              <w:start w:w="120" w:type="dxa"/>
              <w:bottom w:w="110" w:type="dxa"/>
              <w:end w:w="120" w:type="dxa"/>
            </w:tcMar>
          </w:tcPr>
          <w:p>
            <w:r>
              <w:rPr>
                <w:sz w:val="20"/>
              </w:rPr>
              <w:t>Defendant’s response</w:t>
            </w:r>
          </w:p>
        </w:tc>
        <w:tc>
          <w:tcPr>
            <w:tcW w:type="dxa" w:w="1757"/>
            <w:tcMar>
              <w:top w:w="110" w:type="dxa"/>
              <w:start w:w="120" w:type="dxa"/>
              <w:bottom w:w="110" w:type="dxa"/>
              <w:end w:w="120" w:type="dxa"/>
            </w:tcMar>
          </w:tcPr>
          <w:p>
            <w:r>
              <w:rPr>
                <w:sz w:val="20"/>
              </w:rPr>
              <w:t>18 June 2026</w:t>
            </w:r>
          </w:p>
        </w:tc>
        <w:tc>
          <w:tcPr>
            <w:tcW w:type="dxa" w:w="3515"/>
            <w:tcMar>
              <w:top w:w="110" w:type="dxa"/>
              <w:start w:w="120" w:type="dxa"/>
              <w:bottom w:w="110" w:type="dxa"/>
              <w:end w:w="120" w:type="dxa"/>
            </w:tcMar>
          </w:tcPr>
          <w:p>
            <w:r>
              <w:rPr>
                <w:sz w:val="20"/>
              </w:rPr>
              <w:t>Response and account position</w:t>
            </w:r>
          </w:p>
        </w:tc>
      </w:tr>
      <w:tr>
        <w:trPr>
          <w:cantSplit/>
        </w:trPr>
        <w:tc>
          <w:tcPr>
            <w:tcW w:type="dxa" w:w="1191"/>
            <w:tcMar>
              <w:top w:w="110" w:type="dxa"/>
              <w:start w:w="120" w:type="dxa"/>
              <w:bottom w:w="110" w:type="dxa"/>
              <w:end w:w="120" w:type="dxa"/>
            </w:tcMar>
          </w:tcPr>
          <w:p>
            <w:r>
              <w:rPr>
                <w:sz w:val="20"/>
              </w:rPr>
              <w:t>21–22</w:t>
            </w:r>
          </w:p>
        </w:tc>
        <w:tc>
          <w:tcPr>
            <w:tcW w:type="dxa" w:w="2948"/>
            <w:tcMar>
              <w:top w:w="110" w:type="dxa"/>
              <w:start w:w="120" w:type="dxa"/>
              <w:bottom w:w="110" w:type="dxa"/>
              <w:end w:w="120" w:type="dxa"/>
            </w:tcMar>
          </w:tcPr>
          <w:p>
            <w:r>
              <w:rPr>
                <w:sz w:val="20"/>
              </w:rPr>
              <w:t>Repayment calculation</w:t>
            </w:r>
          </w:p>
        </w:tc>
        <w:tc>
          <w:tcPr>
            <w:tcW w:type="dxa" w:w="1757"/>
            <w:tcMar>
              <w:top w:w="110" w:type="dxa"/>
              <w:start w:w="120" w:type="dxa"/>
              <w:bottom w:w="110" w:type="dxa"/>
              <w:end w:w="120" w:type="dxa"/>
            </w:tcMar>
          </w:tcPr>
          <w:p>
            <w:r>
              <w:rPr>
                <w:sz w:val="20"/>
              </w:rPr>
              <w:t>12 July 2026</w:t>
            </w:r>
          </w:p>
        </w:tc>
        <w:tc>
          <w:tcPr>
            <w:tcW w:type="dxa" w:w="3515"/>
            <w:tcMar>
              <w:top w:w="110" w:type="dxa"/>
              <w:start w:w="120" w:type="dxa"/>
              <w:bottom w:w="110" w:type="dxa"/>
              <w:end w:w="120" w:type="dxa"/>
            </w:tcMar>
          </w:tcPr>
          <w:p>
            <w:r>
              <w:rPr>
                <w:sz w:val="20"/>
              </w:rPr>
              <w:t>Auditable reconciliation to £1,420</w:t>
            </w:r>
          </w:p>
        </w:tc>
      </w:tr>
      <w:tr>
        <w:trPr>
          <w:cantSplit/>
        </w:trPr>
        <w:tc>
          <w:tcPr>
            <w:tcW w:type="dxa" w:w="1191"/>
            <w:tcMar>
              <w:top w:w="110" w:type="dxa"/>
              <w:start w:w="120" w:type="dxa"/>
              <w:bottom w:w="110" w:type="dxa"/>
              <w:end w:w="120" w:type="dxa"/>
            </w:tcMar>
          </w:tcPr>
          <w:p>
            <w:r>
              <w:rPr>
                <w:sz w:val="20"/>
              </w:rPr>
              <w:t>23</w:t>
            </w:r>
          </w:p>
        </w:tc>
        <w:tc>
          <w:tcPr>
            <w:tcW w:type="dxa" w:w="2948"/>
            <w:tcMar>
              <w:top w:w="110" w:type="dxa"/>
              <w:start w:w="120" w:type="dxa"/>
              <w:bottom w:w="110" w:type="dxa"/>
              <w:end w:w="120" w:type="dxa"/>
            </w:tcMar>
          </w:tcPr>
          <w:p>
            <w:r>
              <w:rPr>
                <w:sz w:val="20"/>
              </w:rPr>
              <w:t>Account-receipt form</w:t>
            </w:r>
          </w:p>
        </w:tc>
        <w:tc>
          <w:tcPr>
            <w:tcW w:type="dxa" w:w="1757"/>
            <w:tcMar>
              <w:top w:w="110" w:type="dxa"/>
              <w:start w:w="120" w:type="dxa"/>
              <w:bottom w:w="110" w:type="dxa"/>
              <w:end w:w="120" w:type="dxa"/>
            </w:tcMar>
          </w:tcPr>
          <w:p>
            <w:r>
              <w:rPr>
                <w:sz w:val="20"/>
              </w:rPr>
              <w:t>14 January 2025</w:t>
            </w:r>
          </w:p>
        </w:tc>
        <w:tc>
          <w:tcPr>
            <w:tcW w:type="dxa" w:w="3515"/>
            <w:tcMar>
              <w:top w:w="110" w:type="dxa"/>
              <w:start w:w="120" w:type="dxa"/>
              <w:bottom w:w="110" w:type="dxa"/>
              <w:end w:w="120" w:type="dxa"/>
            </w:tcMar>
          </w:tcPr>
          <w:p>
            <w:r>
              <w:rPr>
                <w:sz w:val="20"/>
              </w:rPr>
              <w:t>Document relied on in defence</w:t>
            </w:r>
          </w:p>
        </w:tc>
      </w:tr>
      <w:tr>
        <w:trPr>
          <w:cantSplit/>
        </w:trPr>
        <w:tc>
          <w:tcPr>
            <w:tcW w:type="dxa" w:w="1191"/>
            <w:tcMar>
              <w:top w:w="110" w:type="dxa"/>
              <w:start w:w="120" w:type="dxa"/>
              <w:bottom w:w="110" w:type="dxa"/>
              <w:end w:w="120" w:type="dxa"/>
            </w:tcMar>
          </w:tcPr>
          <w:p>
            <w:r>
              <w:rPr>
                <w:sz w:val="20"/>
              </w:rPr>
              <w:t>24–26</w:t>
            </w:r>
          </w:p>
        </w:tc>
        <w:tc>
          <w:tcPr>
            <w:tcW w:type="dxa" w:w="2948"/>
            <w:tcMar>
              <w:top w:w="110" w:type="dxa"/>
              <w:start w:w="120" w:type="dxa"/>
              <w:bottom w:w="110" w:type="dxa"/>
              <w:end w:w="120" w:type="dxa"/>
            </w:tcMar>
          </w:tcPr>
          <w:p>
            <w:r>
              <w:rPr>
                <w:sz w:val="20"/>
              </w:rPr>
              <w:t>Later account statement</w:t>
            </w:r>
          </w:p>
        </w:tc>
        <w:tc>
          <w:tcPr>
            <w:tcW w:type="dxa" w:w="1757"/>
            <w:tcMar>
              <w:top w:w="110" w:type="dxa"/>
              <w:start w:w="120" w:type="dxa"/>
              <w:bottom w:w="110" w:type="dxa"/>
              <w:end w:w="120" w:type="dxa"/>
            </w:tcMar>
          </w:tcPr>
          <w:p>
            <w:r>
              <w:rPr>
                <w:sz w:val="20"/>
              </w:rPr>
              <w:t>10 July 2026</w:t>
            </w:r>
          </w:p>
        </w:tc>
        <w:tc>
          <w:tcPr>
            <w:tcW w:type="dxa" w:w="3515"/>
            <w:tcMar>
              <w:top w:w="110" w:type="dxa"/>
              <w:start w:w="120" w:type="dxa"/>
              <w:bottom w:w="110" w:type="dxa"/>
              <w:end w:w="120" w:type="dxa"/>
            </w:tcMar>
          </w:tcPr>
          <w:p>
            <w:r>
              <w:rPr>
                <w:sz w:val="20"/>
              </w:rPr>
              <w:t>No £1,420 credit recorded</w:t>
            </w:r>
          </w:p>
        </w:tc>
      </w:tr>
    </w:tbl>
    <w:p/>
    <w:sectPr w:rsidR="00FC693F" w:rsidRPr="0006063C" w:rsidSect="00034616">
      <w:footerReference w:type="default" r:id="rId9"/>
      <w:pgSz w:w="11906" w:h="16838"/>
      <w:pgMar w:top="1247" w:right="1247" w:bottom="1247" w:left="198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County Court witness statement</dc:title>
  <dc:subject>Worked example for residential leaseholders in England</dc:subject>
  <dc:creator/>
  <cp:keywords/>
  <dc:description/>
  <cp:lastModifiedBy/>
  <cp:revision>1</cp:revision>
  <dcterms:created xsi:type="dcterms:W3CDTF">2013-12-23T23:15:00Z</dcterms:created>
  <dcterms:modified xsi:type="dcterms:W3CDTF">2013-12-23T23:15:00Z</dcterms:modified>
  <cp:category/>
</cp:coreProperties>
</file>