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8" w:color="365975"/>
        </w:pBdr>
      </w:pPr>
      <w:r>
        <w:rPr>
          <w:rFonts w:ascii="Calibri" w:hAnsi="Calibri"/>
          <w:color w:val="365975"/>
        </w:rPr>
        <w:t>Worked example: County Court speaking note</w:t>
      </w:r>
    </w:p>
    <w:p>
      <w:r>
        <w:rPr>
          <w:rFonts w:ascii="Calibri" w:hAnsi="Calibri"/>
          <w:b/>
          <w:color w:val="202522"/>
          <w:sz w:val="18"/>
          <w:shd w:fill="FFF2CC"/>
        </w:rPr>
        <w:t>WORKED EXAMPLE — DO NOT FILE OR COPY WITHOUT ADAPTING IT TO YOUR OWN CASE</w:t>
      </w:r>
    </w:p>
    <w:p>
      <w:r>
        <w:rPr>
          <w:rFonts w:ascii="Calibri" w:hAnsi="Calibri"/>
          <w:color w:val="202522"/>
        </w:rPr>
        <w:t>A redacted example based on the successful worked claim. It records the claimant’s route through the hearing, not the court’s reasons, because the order gave no written reasons.</w:t>
      </w:r>
    </w:p>
    <w:p>
      <w:r>
        <w:rPr>
          <w:rFonts w:ascii="Calibri" w:hAnsi="Calibri"/>
          <w:color w:val="202522"/>
        </w:rPr>
        <w:t>Content reviewed: 6 September 2026. Directions and current official forms take priority.</w:t>
      </w:r>
    </w:p>
    <w:p>
      <w:pPr>
        <w:pStyle w:val="ListBullet"/>
      </w:pPr>
      <w:r>
        <w:rPr>
          <w:rFonts w:ascii="Calibri" w:hAnsi="Calibri"/>
          <w:color w:val="202522"/>
        </w:rPr>
        <w:t>CPR Part 27 and Practice Direction 27A: https://www.justice.gov.uk/courts/procedure-rules/civil/rules/part27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IN THE COUNTY COURT</w:t>
        <w:br/>
        <w:t>Claim No. [REDACTED]</w:t>
      </w:r>
    </w:p>
    <w:p>
      <w:pPr>
        <w:pStyle w:val="Title"/>
      </w:pPr>
      <w:r>
        <w:t>CLAIMANT’S SPEAKING NOTE — REDACTED EXAMPLE</w:t>
      </w:r>
    </w:p>
    <w:p>
      <w:pPr>
        <w:pStyle w:val="Heading1"/>
      </w:pPr>
      <w:r>
        <w:t>Opening</w:t>
      </w:r>
    </w:p>
    <w:p>
      <w:r>
        <w:t>The claimant asked the court to determine a fresh repayment claim. The FTT decisions were relied on for their recorded service-charge findings; the claimant did not present them as a County Court payment judgment.</w:t>
      </w:r>
    </w:p>
    <w:p>
      <w:pPr>
        <w:pStyle w:val="Heading1"/>
      </w:pPr>
      <w:r>
        <w:t>Issues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4649"/>
        <w:gridCol w:w="2381"/>
      </w:tblGrid>
      <w:tr>
        <w:trPr>
          <w:tblHeader w:val="true"/>
          <w:cantSplit/>
        </w:trPr>
        <w:tc>
          <w:tcPr>
            <w:tcW w:type="dxa" w:w="187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Issue</w:t>
            </w:r>
          </w:p>
        </w:tc>
        <w:tc>
          <w:tcPr>
            <w:tcW w:type="dxa" w:w="4649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Claimant’s short answer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Evidence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Correct route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Fresh claim based on the pleaded repayment basis, not enforcement of a declaration as if it were a money order.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Particulars; FTT decisions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Calculation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Payments, FTT adjustments and credits were reconciled in one schedule.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Calculation; account records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Defence points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Each point was answered separately by facts, documents and the pleaded legal route.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Witness statement; defence matrix</w:t>
            </w:r>
          </w:p>
        </w:tc>
      </w:tr>
    </w:tbl>
    <w:p/>
    <w:p>
      <w:pPr>
        <w:pStyle w:val="Heading1"/>
      </w:pPr>
      <w:r>
        <w:t>Closing</w:t>
      </w:r>
    </w:p>
    <w:p>
      <w:r>
        <w:t>The claimant asked for the checked principal, the interest claimed on the pleaded basis, the issue fee and a stated payment date.</w:t>
      </w:r>
    </w:p>
    <w:p>
      <w:r>
        <w:t>Recorded outcome: judgment was entered after the court heard the claimant in person, the defendant’s counsel having withdrawn. A payment instruction was supplied on the deadline. The order gives no reasons on the substantive defence points.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Worked example: County Court speaking note</dc:title>
  <dc:subject>Worked example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