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8" w:color="365975"/>
        </w:pBdr>
      </w:pPr>
      <w:r>
        <w:rPr>
          <w:rFonts w:ascii="Calibri" w:hAnsi="Calibri"/>
          <w:color w:val="365975"/>
        </w:rPr>
        <w:t>Worked example: County Court bundle front matter and index</w:t>
      </w:r>
    </w:p>
    <w:p>
      <w:r>
        <w:rPr>
          <w:rFonts w:ascii="Calibri" w:hAnsi="Calibri"/>
          <w:b/>
          <w:color w:val="202522"/>
          <w:sz w:val="18"/>
          <w:shd w:fill="FFF2CC"/>
        </w:rPr>
        <w:t>WORKED EXAMPLE — DO NOT FILE OR COPY WITHOUT ADAPTING IT TO YOUR OWN CASE</w:t>
      </w:r>
    </w:p>
    <w:p>
      <w:r>
        <w:rPr>
          <w:rFonts w:ascii="Calibri" w:hAnsi="Calibri"/>
          <w:color w:val="202522"/>
        </w:rPr>
        <w:t>This public download is deliberately not a complete County Court hearing bundle. It demonstrates only the cover, a populated index, section placeholders and assembly lessons. A real bundle continues after the index with the pleadings, orders and evidence. Identifiers and page ranges here are illustrative.</w:t>
      </w:r>
    </w:p>
    <w:p>
      <w:r>
        <w:rPr>
          <w:rFonts w:ascii="Calibri" w:hAnsi="Calibri"/>
          <w:color w:val="202522"/>
        </w:rPr>
        <w:t>Legal content reviewed: 27 August 2026. Directions and current official forms take priority.</w:t>
      </w:r>
    </w:p>
    <w:p>
      <w:pPr>
        <w:pStyle w:val="ListBullet"/>
      </w:pPr>
      <w:r>
        <w:rPr>
          <w:rFonts w:ascii="Calibri" w:hAnsi="Calibri"/>
          <w:color w:val="202522"/>
        </w:rPr>
        <w:t>CPR Part 27 and Practice Direction 27A: https://www.justice.gov.uk/courts/procedure-rules/civil/rules/part27</w:t>
      </w:r>
    </w:p>
    <w:p>
      <w:r>
        <w:rPr>
          <w:rFonts w:ascii="Calibri" w:hAnsi="Calibri"/>
          <w:color w:val="202522"/>
        </w:rPr>
        <w:br w:type="page"/>
      </w:r>
    </w:p>
    <w:p>
      <w:pPr>
        <w:jc w:val="center"/>
      </w:pPr>
      <w:r>
        <w:rPr>
          <w:b/>
          <w:sz w:val="24"/>
        </w:rPr>
        <w:t>IN THE COUNTY COURT</w:t>
        <w:br/>
        <w:t>Claim No. [REDACTED]</w:t>
      </w:r>
    </w:p>
    <w:p>
      <w:pPr>
        <w:pStyle w:val="Title"/>
      </w:pPr>
      <w:r>
        <w:t>COUNTY COURT BUNDLE — FRONT MATTER / INDEX EXAMPLE ONLY</w:t>
      </w:r>
    </w:p>
    <w:p>
      <w:pPr>
        <w:pStyle w:val="Heading1"/>
      </w:pPr>
      <w:r>
        <w:t>Scope of this worked example</w:t>
      </w:r>
    </w:p>
    <w:p>
      <w:r>
        <w:t>This Word file is a worked example of front matter and indexing only. It is not a complete hearing bundle and does not contain the pleadings, orders, witness evidence, tribunal decisions, account records or calculation named below. In the final PDF, the actual documents must follow the index in the order required by the court’s current order.</w:t>
      </w:r>
    </w:p>
    <w:p>
      <w:pPr>
        <w:pStyle w:val="Heading1"/>
      </w:pPr>
      <w:r>
        <w:t>Illustrative completed index</w:t>
      </w:r>
    </w:p>
    <w:p>
      <w:r>
        <w:t>The page ranges below show how a completed index works. They do not describe the pages in this short Word download.</w:t>
      </w:r>
    </w:p>
    <w:tbl>
      <w:tblPr>
        <w:tblStyle w:val="TableGrid"/>
        <w:tblW w:type="auto" w:w="0"/>
        <w:jc w:val="center"/>
        <w:tblLayout w:type="fixed"/>
        <w:tblLook w:firstColumn="1" w:firstRow="1" w:lastColumn="0" w:lastRow="0" w:noHBand="0" w:noVBand="1" w:val="04A0"/>
      </w:tblPr>
      <w:tblGrid>
        <w:gridCol w:w="1247"/>
        <w:gridCol w:w="5839"/>
        <w:gridCol w:w="2098"/>
      </w:tblGrid>
      <w:tr>
        <w:trPr>
          <w:tblHeader w:val="true"/>
          <w:cantSplit/>
        </w:trPr>
        <w:tc>
          <w:tcPr>
            <w:tcW w:type="dxa" w:w="1247"/>
            <w:shd w:fill="E6E6E6"/>
            <w:tcMar>
              <w:top w:w="110" w:type="dxa"/>
              <w:start w:w="120" w:type="dxa"/>
              <w:bottom w:w="110" w:type="dxa"/>
              <w:end w:w="120" w:type="dxa"/>
            </w:tcMar>
            <w:vAlign w:val="center"/>
          </w:tcPr>
          <w:p>
            <w:r>
              <w:rPr>
                <w:b/>
                <w:color w:val="000000"/>
                <w:sz w:val="20"/>
              </w:rPr>
              <w:t>Section</w:t>
            </w:r>
          </w:p>
        </w:tc>
        <w:tc>
          <w:tcPr>
            <w:tcW w:type="dxa" w:w="5839"/>
            <w:shd w:fill="E6E6E6"/>
            <w:tcMar>
              <w:top w:w="110" w:type="dxa"/>
              <w:start w:w="120" w:type="dxa"/>
              <w:bottom w:w="110" w:type="dxa"/>
              <w:end w:w="120" w:type="dxa"/>
            </w:tcMar>
            <w:vAlign w:val="center"/>
          </w:tcPr>
          <w:p>
            <w:r>
              <w:rPr>
                <w:b/>
                <w:color w:val="000000"/>
                <w:sz w:val="20"/>
              </w:rPr>
              <w:t>Document class</w:t>
            </w:r>
          </w:p>
        </w:tc>
        <w:tc>
          <w:tcPr>
            <w:tcW w:type="dxa" w:w="2098"/>
            <w:shd w:fill="E6E6E6"/>
            <w:tcMar>
              <w:top w:w="110" w:type="dxa"/>
              <w:start w:w="120" w:type="dxa"/>
              <w:bottom w:w="110" w:type="dxa"/>
              <w:end w:w="120" w:type="dxa"/>
            </w:tcMar>
            <w:vAlign w:val="center"/>
          </w:tcPr>
          <w:p>
            <w:r>
              <w:rPr>
                <w:b/>
                <w:color w:val="000000"/>
                <w:sz w:val="20"/>
              </w:rPr>
              <w:t>Illustrative pages</w:t>
            </w:r>
          </w:p>
        </w:tc>
      </w:tr>
      <w:tr>
        <w:trPr>
          <w:cantSplit/>
        </w:trPr>
        <w:tc>
          <w:tcPr>
            <w:tcW w:type="dxa" w:w="1247"/>
            <w:tcMar>
              <w:top w:w="110" w:type="dxa"/>
              <w:start w:w="120" w:type="dxa"/>
              <w:bottom w:w="110" w:type="dxa"/>
              <w:end w:w="120" w:type="dxa"/>
            </w:tcMar>
          </w:tcPr>
          <w:p>
            <w:r>
              <w:rPr>
                <w:sz w:val="20"/>
              </w:rPr>
              <w:t>A</w:t>
            </w:r>
          </w:p>
        </w:tc>
        <w:tc>
          <w:tcPr>
            <w:tcW w:type="dxa" w:w="5839"/>
            <w:tcMar>
              <w:top w:w="110" w:type="dxa"/>
              <w:start w:w="120" w:type="dxa"/>
              <w:bottom w:w="110" w:type="dxa"/>
              <w:end w:w="120" w:type="dxa"/>
            </w:tcMar>
          </w:tcPr>
          <w:p>
            <w:r>
              <w:rPr>
                <w:sz w:val="20"/>
              </w:rPr>
              <w:t>Claim form and particulars</w:t>
            </w:r>
          </w:p>
        </w:tc>
        <w:tc>
          <w:tcPr>
            <w:tcW w:type="dxa" w:w="2098"/>
            <w:tcMar>
              <w:top w:w="110" w:type="dxa"/>
              <w:start w:w="120" w:type="dxa"/>
              <w:bottom w:w="110" w:type="dxa"/>
              <w:end w:w="120" w:type="dxa"/>
            </w:tcMar>
          </w:tcPr>
          <w:p>
            <w:r>
              <w:rPr>
                <w:sz w:val="20"/>
              </w:rPr>
              <w:t>1–7</w:t>
            </w:r>
          </w:p>
        </w:tc>
      </w:tr>
      <w:tr>
        <w:trPr>
          <w:cantSplit/>
        </w:trPr>
        <w:tc>
          <w:tcPr>
            <w:tcW w:type="dxa" w:w="1247"/>
            <w:tcMar>
              <w:top w:w="110" w:type="dxa"/>
              <w:start w:w="120" w:type="dxa"/>
              <w:bottom w:w="110" w:type="dxa"/>
              <w:end w:w="120" w:type="dxa"/>
            </w:tcMar>
          </w:tcPr>
          <w:p>
            <w:r>
              <w:rPr>
                <w:sz w:val="20"/>
              </w:rPr>
              <w:t>B</w:t>
            </w:r>
          </w:p>
        </w:tc>
        <w:tc>
          <w:tcPr>
            <w:tcW w:type="dxa" w:w="5839"/>
            <w:tcMar>
              <w:top w:w="110" w:type="dxa"/>
              <w:start w:w="120" w:type="dxa"/>
              <w:bottom w:w="110" w:type="dxa"/>
              <w:end w:w="120" w:type="dxa"/>
            </w:tcMar>
          </w:tcPr>
          <w:p>
            <w:r>
              <w:rPr>
                <w:sz w:val="20"/>
              </w:rPr>
              <w:t>Defence and any permitted reply</w:t>
            </w:r>
          </w:p>
        </w:tc>
        <w:tc>
          <w:tcPr>
            <w:tcW w:type="dxa" w:w="2098"/>
            <w:tcMar>
              <w:top w:w="110" w:type="dxa"/>
              <w:start w:w="120" w:type="dxa"/>
              <w:bottom w:w="110" w:type="dxa"/>
              <w:end w:w="120" w:type="dxa"/>
            </w:tcMar>
          </w:tcPr>
          <w:p>
            <w:r>
              <w:rPr>
                <w:sz w:val="20"/>
              </w:rPr>
              <w:t>8–12</w:t>
            </w:r>
          </w:p>
        </w:tc>
      </w:tr>
      <w:tr>
        <w:trPr>
          <w:cantSplit/>
        </w:trPr>
        <w:tc>
          <w:tcPr>
            <w:tcW w:type="dxa" w:w="1247"/>
            <w:tcMar>
              <w:top w:w="110" w:type="dxa"/>
              <w:start w:w="120" w:type="dxa"/>
              <w:bottom w:w="110" w:type="dxa"/>
              <w:end w:w="120" w:type="dxa"/>
            </w:tcMar>
          </w:tcPr>
          <w:p>
            <w:r>
              <w:rPr>
                <w:sz w:val="20"/>
              </w:rPr>
              <w:t>C</w:t>
            </w:r>
          </w:p>
        </w:tc>
        <w:tc>
          <w:tcPr>
            <w:tcW w:type="dxa" w:w="5839"/>
            <w:tcMar>
              <w:top w:w="110" w:type="dxa"/>
              <w:start w:w="120" w:type="dxa"/>
              <w:bottom w:w="110" w:type="dxa"/>
              <w:end w:w="120" w:type="dxa"/>
            </w:tcMar>
          </w:tcPr>
          <w:p>
            <w:r>
              <w:rPr>
                <w:sz w:val="20"/>
              </w:rPr>
              <w:t>Court orders and notices</w:t>
            </w:r>
          </w:p>
        </w:tc>
        <w:tc>
          <w:tcPr>
            <w:tcW w:type="dxa" w:w="2098"/>
            <w:tcMar>
              <w:top w:w="110" w:type="dxa"/>
              <w:start w:w="120" w:type="dxa"/>
              <w:bottom w:w="110" w:type="dxa"/>
              <w:end w:w="120" w:type="dxa"/>
            </w:tcMar>
          </w:tcPr>
          <w:p>
            <w:r>
              <w:rPr>
                <w:sz w:val="20"/>
              </w:rPr>
              <w:t>13–19</w:t>
            </w:r>
          </w:p>
        </w:tc>
      </w:tr>
      <w:tr>
        <w:trPr>
          <w:cantSplit/>
        </w:trPr>
        <w:tc>
          <w:tcPr>
            <w:tcW w:type="dxa" w:w="1247"/>
            <w:tcMar>
              <w:top w:w="110" w:type="dxa"/>
              <w:start w:w="120" w:type="dxa"/>
              <w:bottom w:w="110" w:type="dxa"/>
              <w:end w:w="120" w:type="dxa"/>
            </w:tcMar>
          </w:tcPr>
          <w:p>
            <w:r>
              <w:rPr>
                <w:sz w:val="20"/>
              </w:rPr>
              <w:t>D</w:t>
            </w:r>
          </w:p>
        </w:tc>
        <w:tc>
          <w:tcPr>
            <w:tcW w:type="dxa" w:w="5839"/>
            <w:tcMar>
              <w:top w:w="110" w:type="dxa"/>
              <w:start w:w="120" w:type="dxa"/>
              <w:bottom w:w="110" w:type="dxa"/>
              <w:end w:w="120" w:type="dxa"/>
            </w:tcMar>
          </w:tcPr>
          <w:p>
            <w:r>
              <w:rPr>
                <w:sz w:val="20"/>
              </w:rPr>
              <w:t>Witness statement and exhibits</w:t>
            </w:r>
          </w:p>
        </w:tc>
        <w:tc>
          <w:tcPr>
            <w:tcW w:type="dxa" w:w="2098"/>
            <w:tcMar>
              <w:top w:w="110" w:type="dxa"/>
              <w:start w:w="120" w:type="dxa"/>
              <w:bottom w:w="110" w:type="dxa"/>
              <w:end w:w="120" w:type="dxa"/>
            </w:tcMar>
          </w:tcPr>
          <w:p>
            <w:r>
              <w:rPr>
                <w:sz w:val="20"/>
              </w:rPr>
              <w:t>20–49</w:t>
            </w:r>
          </w:p>
        </w:tc>
      </w:tr>
      <w:tr>
        <w:trPr>
          <w:cantSplit/>
        </w:trPr>
        <w:tc>
          <w:tcPr>
            <w:tcW w:type="dxa" w:w="1247"/>
            <w:tcMar>
              <w:top w:w="110" w:type="dxa"/>
              <w:start w:w="120" w:type="dxa"/>
              <w:bottom w:w="110" w:type="dxa"/>
              <w:end w:w="120" w:type="dxa"/>
            </w:tcMar>
          </w:tcPr>
          <w:p>
            <w:r>
              <w:rPr>
                <w:sz w:val="20"/>
              </w:rPr>
              <w:t>E</w:t>
            </w:r>
          </w:p>
        </w:tc>
        <w:tc>
          <w:tcPr>
            <w:tcW w:type="dxa" w:w="5839"/>
            <w:tcMar>
              <w:top w:w="110" w:type="dxa"/>
              <w:start w:w="120" w:type="dxa"/>
              <w:bottom w:w="110" w:type="dxa"/>
              <w:end w:w="120" w:type="dxa"/>
            </w:tcMar>
          </w:tcPr>
          <w:p>
            <w:r>
              <w:rPr>
                <w:sz w:val="20"/>
              </w:rPr>
              <w:t>FTT decisions and relevant orders</w:t>
            </w:r>
          </w:p>
        </w:tc>
        <w:tc>
          <w:tcPr>
            <w:tcW w:type="dxa" w:w="2098"/>
            <w:tcMar>
              <w:top w:w="110" w:type="dxa"/>
              <w:start w:w="120" w:type="dxa"/>
              <w:bottom w:w="110" w:type="dxa"/>
              <w:end w:w="120" w:type="dxa"/>
            </w:tcMar>
          </w:tcPr>
          <w:p>
            <w:r>
              <w:rPr>
                <w:sz w:val="20"/>
              </w:rPr>
              <w:t>50–81</w:t>
            </w:r>
          </w:p>
        </w:tc>
      </w:tr>
      <w:tr>
        <w:trPr>
          <w:cantSplit/>
        </w:trPr>
        <w:tc>
          <w:tcPr>
            <w:tcW w:type="dxa" w:w="1247"/>
            <w:tcMar>
              <w:top w:w="110" w:type="dxa"/>
              <w:start w:w="120" w:type="dxa"/>
              <w:bottom w:w="110" w:type="dxa"/>
              <w:end w:w="120" w:type="dxa"/>
            </w:tcMar>
          </w:tcPr>
          <w:p>
            <w:r>
              <w:rPr>
                <w:sz w:val="20"/>
              </w:rPr>
              <w:t>F</w:t>
            </w:r>
          </w:p>
        </w:tc>
        <w:tc>
          <w:tcPr>
            <w:tcW w:type="dxa" w:w="5839"/>
            <w:tcMar>
              <w:top w:w="110" w:type="dxa"/>
              <w:start w:w="120" w:type="dxa"/>
              <w:bottom w:w="110" w:type="dxa"/>
              <w:end w:w="120" w:type="dxa"/>
            </w:tcMar>
          </w:tcPr>
          <w:p>
            <w:r>
              <w:rPr>
                <w:sz w:val="20"/>
              </w:rPr>
              <w:t>Lease, account evidence and repayment calculation</w:t>
            </w:r>
          </w:p>
        </w:tc>
        <w:tc>
          <w:tcPr>
            <w:tcW w:type="dxa" w:w="2098"/>
            <w:tcMar>
              <w:top w:w="110" w:type="dxa"/>
              <w:start w:w="120" w:type="dxa"/>
              <w:bottom w:w="110" w:type="dxa"/>
              <w:end w:w="120" w:type="dxa"/>
            </w:tcMar>
          </w:tcPr>
          <w:p>
            <w:r>
              <w:rPr>
                <w:sz w:val="20"/>
              </w:rPr>
              <w:t>82–108</w:t>
            </w:r>
          </w:p>
        </w:tc>
      </w:tr>
    </w:tbl>
    <w:p/>
    <w:p>
      <w:r>
        <w:br w:type="page"/>
      </w:r>
    </w:p>
    <w:p>
      <w:pPr>
        <w:pStyle w:val="Heading1"/>
      </w:pPr>
      <w:r>
        <w:t>MAIN CONTENT OMITTED FROM THIS PUBLIC EXAMPLE</w:t>
      </w:r>
    </w:p>
    <w:p>
      <w:r>
        <w:t>PLACEHOLDER ONLY: in a real bundle, the next pages would be section dividers followed immediately by the actual documents. This public example stops here so that private evidence is not reproduced.</w:t>
      </w:r>
    </w:p>
    <w:tbl>
      <w:tblPr>
        <w:tblStyle w:val="TableGrid"/>
        <w:tblW w:type="auto" w:w="0"/>
        <w:jc w:val="center"/>
        <w:tblLayout w:type="fixed"/>
        <w:tblLook w:firstColumn="1" w:firstRow="1" w:lastColumn="0" w:lastRow="0" w:noHBand="0" w:noVBand="1" w:val="04A0"/>
      </w:tblPr>
      <w:tblGrid>
        <w:gridCol w:w="1247"/>
        <w:gridCol w:w="7994"/>
      </w:tblGrid>
      <w:tr>
        <w:trPr>
          <w:tblHeader w:val="true"/>
          <w:cantSplit/>
        </w:trPr>
        <w:tc>
          <w:tcPr>
            <w:tcW w:type="dxa" w:w="1247"/>
            <w:shd w:fill="E6E6E6"/>
            <w:tcMar>
              <w:top w:w="110" w:type="dxa"/>
              <w:start w:w="120" w:type="dxa"/>
              <w:bottom w:w="110" w:type="dxa"/>
              <w:end w:w="120" w:type="dxa"/>
            </w:tcMar>
            <w:vAlign w:val="center"/>
          </w:tcPr>
          <w:p>
            <w:r>
              <w:rPr>
                <w:b/>
                <w:color w:val="000000"/>
                <w:sz w:val="20"/>
              </w:rPr>
              <w:t>Section</w:t>
            </w:r>
          </w:p>
        </w:tc>
        <w:tc>
          <w:tcPr>
            <w:tcW w:type="dxa" w:w="7994"/>
            <w:shd w:fill="E6E6E6"/>
            <w:tcMar>
              <w:top w:w="110" w:type="dxa"/>
              <w:start w:w="120" w:type="dxa"/>
              <w:bottom w:w="110" w:type="dxa"/>
              <w:end w:w="120" w:type="dxa"/>
            </w:tcMar>
            <w:vAlign w:val="center"/>
          </w:tcPr>
          <w:p>
            <w:r>
              <w:rPr>
                <w:b/>
                <w:color w:val="000000"/>
                <w:sz w:val="20"/>
              </w:rPr>
              <w:t>What must be inserted in the final PDF</w:t>
            </w:r>
          </w:p>
        </w:tc>
      </w:tr>
      <w:tr>
        <w:trPr>
          <w:cantSplit/>
        </w:trPr>
        <w:tc>
          <w:tcPr>
            <w:tcW w:type="dxa" w:w="1247"/>
            <w:tcMar>
              <w:top w:w="110" w:type="dxa"/>
              <w:start w:w="120" w:type="dxa"/>
              <w:bottom w:w="110" w:type="dxa"/>
              <w:end w:w="120" w:type="dxa"/>
            </w:tcMar>
          </w:tcPr>
          <w:p>
            <w:r>
              <w:rPr>
                <w:sz w:val="20"/>
              </w:rPr>
              <w:t>A</w:t>
            </w:r>
          </w:p>
        </w:tc>
        <w:tc>
          <w:tcPr>
            <w:tcW w:type="dxa" w:w="7994"/>
            <w:tcMar>
              <w:top w:w="110" w:type="dxa"/>
              <w:start w:w="120" w:type="dxa"/>
              <w:bottom w:w="110" w:type="dxa"/>
              <w:end w:w="120" w:type="dxa"/>
            </w:tcMar>
          </w:tcPr>
          <w:p>
            <w:r>
              <w:rPr>
                <w:sz w:val="20"/>
              </w:rPr>
              <w:t>[INSERT the sealed claim form and particulars relied on.]</w:t>
            </w:r>
          </w:p>
        </w:tc>
      </w:tr>
      <w:tr>
        <w:trPr>
          <w:cantSplit/>
        </w:trPr>
        <w:tc>
          <w:tcPr>
            <w:tcW w:type="dxa" w:w="1247"/>
            <w:tcMar>
              <w:top w:w="110" w:type="dxa"/>
              <w:start w:w="120" w:type="dxa"/>
              <w:bottom w:w="110" w:type="dxa"/>
              <w:end w:w="120" w:type="dxa"/>
            </w:tcMar>
          </w:tcPr>
          <w:p>
            <w:r>
              <w:rPr>
                <w:sz w:val="20"/>
              </w:rPr>
              <w:t>B</w:t>
            </w:r>
          </w:p>
        </w:tc>
        <w:tc>
          <w:tcPr>
            <w:tcW w:type="dxa" w:w="7994"/>
            <w:tcMar>
              <w:top w:w="110" w:type="dxa"/>
              <w:start w:w="120" w:type="dxa"/>
              <w:bottom w:w="110" w:type="dxa"/>
              <w:end w:w="120" w:type="dxa"/>
            </w:tcMar>
          </w:tcPr>
          <w:p>
            <w:r>
              <w:rPr>
                <w:sz w:val="20"/>
              </w:rPr>
              <w:t>[INSERT the defence and any reply permitted by the court.]</w:t>
            </w:r>
          </w:p>
        </w:tc>
      </w:tr>
      <w:tr>
        <w:trPr>
          <w:cantSplit/>
        </w:trPr>
        <w:tc>
          <w:tcPr>
            <w:tcW w:type="dxa" w:w="1247"/>
            <w:tcMar>
              <w:top w:w="110" w:type="dxa"/>
              <w:start w:w="120" w:type="dxa"/>
              <w:bottom w:w="110" w:type="dxa"/>
              <w:end w:w="120" w:type="dxa"/>
            </w:tcMar>
          </w:tcPr>
          <w:p>
            <w:r>
              <w:rPr>
                <w:sz w:val="20"/>
              </w:rPr>
              <w:t>C</w:t>
            </w:r>
          </w:p>
        </w:tc>
        <w:tc>
          <w:tcPr>
            <w:tcW w:type="dxa" w:w="7994"/>
            <w:tcMar>
              <w:top w:w="110" w:type="dxa"/>
              <w:start w:w="120" w:type="dxa"/>
              <w:bottom w:w="110" w:type="dxa"/>
              <w:end w:w="120" w:type="dxa"/>
            </w:tcMar>
          </w:tcPr>
          <w:p>
            <w:r>
              <w:rPr>
                <w:sz w:val="20"/>
              </w:rPr>
              <w:t>[INSERT the current court order and any later notices or orders.]</w:t>
            </w:r>
          </w:p>
        </w:tc>
      </w:tr>
      <w:tr>
        <w:trPr>
          <w:cantSplit/>
        </w:trPr>
        <w:tc>
          <w:tcPr>
            <w:tcW w:type="dxa" w:w="1247"/>
            <w:tcMar>
              <w:top w:w="110" w:type="dxa"/>
              <w:start w:w="120" w:type="dxa"/>
              <w:bottom w:w="110" w:type="dxa"/>
              <w:end w:w="120" w:type="dxa"/>
            </w:tcMar>
          </w:tcPr>
          <w:p>
            <w:r>
              <w:rPr>
                <w:sz w:val="20"/>
              </w:rPr>
              <w:t>D</w:t>
            </w:r>
          </w:p>
        </w:tc>
        <w:tc>
          <w:tcPr>
            <w:tcW w:type="dxa" w:w="7994"/>
            <w:tcMar>
              <w:top w:w="110" w:type="dxa"/>
              <w:start w:w="120" w:type="dxa"/>
              <w:bottom w:w="110" w:type="dxa"/>
              <w:end w:w="120" w:type="dxa"/>
            </w:tcMar>
          </w:tcPr>
          <w:p>
            <w:r>
              <w:rPr>
                <w:sz w:val="20"/>
              </w:rPr>
              <w:t>[INSERT signed witness statements followed by the exhibits they identify.]</w:t>
            </w:r>
          </w:p>
        </w:tc>
      </w:tr>
      <w:tr>
        <w:trPr>
          <w:cantSplit/>
        </w:trPr>
        <w:tc>
          <w:tcPr>
            <w:tcW w:type="dxa" w:w="1247"/>
            <w:tcMar>
              <w:top w:w="110" w:type="dxa"/>
              <w:start w:w="120" w:type="dxa"/>
              <w:bottom w:w="110" w:type="dxa"/>
              <w:end w:w="120" w:type="dxa"/>
            </w:tcMar>
          </w:tcPr>
          <w:p>
            <w:r>
              <w:rPr>
                <w:sz w:val="20"/>
              </w:rPr>
              <w:t>E</w:t>
            </w:r>
          </w:p>
        </w:tc>
        <w:tc>
          <w:tcPr>
            <w:tcW w:type="dxa" w:w="7994"/>
            <w:tcMar>
              <w:top w:w="110" w:type="dxa"/>
              <w:start w:w="120" w:type="dxa"/>
              <w:bottom w:w="110" w:type="dxa"/>
              <w:end w:w="120" w:type="dxa"/>
            </w:tcMar>
          </w:tcPr>
          <w:p>
            <w:r>
              <w:rPr>
                <w:sz w:val="20"/>
              </w:rPr>
              <w:t>[INSERT the FTT decisions and orders relied on, without treating findings as a County Court payment judgment.]</w:t>
            </w:r>
          </w:p>
        </w:tc>
      </w:tr>
      <w:tr>
        <w:trPr>
          <w:cantSplit/>
        </w:trPr>
        <w:tc>
          <w:tcPr>
            <w:tcW w:type="dxa" w:w="1247"/>
            <w:tcMar>
              <w:top w:w="110" w:type="dxa"/>
              <w:start w:w="120" w:type="dxa"/>
              <w:bottom w:w="110" w:type="dxa"/>
              <w:end w:w="120" w:type="dxa"/>
            </w:tcMar>
          </w:tcPr>
          <w:p>
            <w:r>
              <w:rPr>
                <w:sz w:val="20"/>
              </w:rPr>
              <w:t>F</w:t>
            </w:r>
          </w:p>
        </w:tc>
        <w:tc>
          <w:tcPr>
            <w:tcW w:type="dxa" w:w="7994"/>
            <w:tcMar>
              <w:top w:w="110" w:type="dxa"/>
              <w:start w:w="120" w:type="dxa"/>
              <w:bottom w:w="110" w:type="dxa"/>
              <w:end w:w="120" w:type="dxa"/>
            </w:tcMar>
          </w:tcPr>
          <w:p>
            <w:r>
              <w:rPr>
                <w:sz w:val="20"/>
              </w:rPr>
              <w:t>[INSERT the relevant lease, payment and account records, correspondence and checked repayment calculation.]</w:t>
            </w:r>
          </w:p>
        </w:tc>
      </w:tr>
    </w:tbl>
    <w:p/>
    <w:p>
      <w:pPr>
        <w:pStyle w:val="Heading1"/>
      </w:pPr>
      <w:r>
        <w:t>Assembly lessons demonstrated</w:t>
      </w:r>
    </w:p>
    <w:p>
      <w:pPr>
        <w:pStyle w:val="ListBullet"/>
      </w:pPr>
      <w:r>
        <w:t>The court’s current order controlled the contents, order, format, deadline and responsibility for the bundle.</w:t>
      </w:r>
    </w:p>
    <w:p>
      <w:pPr>
        <w:pStyle w:val="ListBullet"/>
      </w:pPr>
      <w:r>
        <w:t>Statements of case and court orders were kept separate from witness exhibits and placed where the order required.</w:t>
      </w:r>
    </w:p>
    <w:p>
      <w:pPr>
        <w:pStyle w:val="ListBullet"/>
      </w:pPr>
      <w:r>
        <w:t>Cover, index and every divider page were counted in the continuous page sequence.</w:t>
      </w:r>
    </w:p>
    <w:p>
      <w:pPr>
        <w:pStyle w:val="ListBullet"/>
      </w:pPr>
      <w:r>
        <w:t>Witness-statement and speaking-note references were checked against the final merged PDF.</w:t>
      </w:r>
    </w:p>
    <w:p>
      <w:pPr>
        <w:pStyle w:val="ListBullet"/>
      </w:pPr>
      <w:r>
        <w:t>Page-number overlays were checked so they did not cover text or an existing source-document footer.</w:t>
      </w:r>
    </w:p>
    <w:p>
      <w:pPr>
        <w:pStyle w:val="ListBullet"/>
      </w:pPr>
      <w:r>
        <w:t>The identical final PDF was served on every required recipient, and proof was retained.</w:t>
      </w:r>
    </w:p>
    <w:sectPr w:rsidR="00FC693F" w:rsidRPr="0006063C" w:rsidSect="00034616">
      <w:footerReference w:type="default" r:id="rId9"/>
      <w:pgSz w:w="11906" w:h="16838"/>
      <w:pgMar w:top="124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County Court bundle front matter and index</dc:title>
  <dc:subject>Worked example for residential leaseholders in England</dc:subject>
  <dc:creator/>
  <cp:keywords/>
  <dc:description/>
  <cp:lastModifiedBy/>
  <cp:revision>1</cp:revision>
  <dcterms:created xsi:type="dcterms:W3CDTF">2013-12-23T23:15:00Z</dcterms:created>
  <dcterms:modified xsi:type="dcterms:W3CDTF">2013-12-23T23:15:00Z</dcterms:modified>
  <cp:category/>
</cp:coreProperties>
</file>