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pBdr>
          <w:bottom w:val="single" w:sz="8" w:color="365975"/>
        </w:pBdr>
      </w:pPr>
      <w:r>
        <w:rPr>
          <w:rFonts w:ascii="Calibri" w:hAnsi="Calibri"/>
          <w:color w:val="365975"/>
        </w:rPr>
        <w:t>Worked example: FTT case-management request</w:t>
      </w:r>
    </w:p>
    <w:p>
      <w:r>
        <w:rPr>
          <w:rFonts w:ascii="Calibri" w:hAnsi="Calibri"/>
          <w:b/>
          <w:color w:val="202522"/>
          <w:sz w:val="18"/>
          <w:shd w:fill="FFF2CC"/>
        </w:rPr>
        <w:t>WORKED EXAMPLE — DO NOT FILE OR COPY WITHOUT ADAPTING IT TO YOUR OWN CASE</w:t>
      </w:r>
    </w:p>
    <w:p>
      <w:r>
        <w:rPr>
          <w:rFonts w:ascii="Calibri" w:hAnsi="Calibri"/>
          <w:color w:val="202522"/>
        </w:rPr>
        <w:t>Carefully redacted from a short real-case request. Dates, names, property details and private correspondence are omitted. The example shows structure, not an expected outcome.</w:t>
      </w:r>
    </w:p>
    <w:p>
      <w:r>
        <w:rPr>
          <w:rFonts w:ascii="Calibri" w:hAnsi="Calibri"/>
          <w:color w:val="202522"/>
        </w:rPr>
        <w:t>Legal content reviewed: 27 August 2026. Directions and current official forms take priority.</w:t>
      </w:r>
    </w:p>
    <w:p>
      <w:pPr>
        <w:pStyle w:val="ListBullet"/>
      </w:pPr>
      <w:r>
        <w:rPr>
          <w:rFonts w:ascii="Calibri" w:hAnsi="Calibri"/>
          <w:color w:val="202522"/>
        </w:rPr>
        <w:t>T541 case-preparation guidance: https://www.gov.uk/government/publications/service-and-administration-charges-and-management-matters-t541/service-charges-administration-charges-and-other-management-matters-in-the-property-tribunal</w:t>
      </w:r>
    </w:p>
    <w:p>
      <w:r>
        <w:rPr>
          <w:rFonts w:ascii="Calibri" w:hAnsi="Calibri"/>
          <w:color w:val="202522"/>
        </w:rPr>
        <w:br w:type="page"/>
      </w:r>
    </w:p>
    <w:p>
      <w:pPr>
        <w:jc w:val="center"/>
      </w:pPr>
      <w:r>
        <w:rPr>
          <w:b/>
          <w:sz w:val="24"/>
        </w:rPr>
        <w:t>FIRST-TIER TRIBUNAL (PROPERTY CHAMBER)</w:t>
      </w:r>
    </w:p>
    <w:p>
      <w:pPr>
        <w:pStyle w:val="Title"/>
      </w:pPr>
      <w:r>
        <w:t>CASE-MANAGEMENT REQUEST — REDACTED EXAMPLE</w:t>
      </w:r>
    </w:p>
    <w:p>
      <w:r>
        <w:t>1. Paragraph 4 of the directions required the respondent to serve its statement of case and documents by the specified deadline.</w:t>
      </w:r>
    </w:p>
    <w:p>
      <w:r>
        <w:t>2. No statement or documents had been received when this request was prepared. The applicants’ record of service and the tribunal correspondence showed the outstanding step.</w:t>
      </w:r>
    </w:p>
    <w:p>
      <w:r>
        <w:t>3. Without the respondent’s case, the applicants could not identify what was admitted or disputed or complete an agreed hearing bundle.</w:t>
      </w:r>
    </w:p>
    <w:p>
      <w:r>
        <w:t>4. A reminder and further opportunity had already been given.</w:t>
      </w:r>
    </w:p>
    <w:p>
      <w:r>
        <w:t>5. The applicants therefore asked for a short final compliance direction with a stated consequence. They confirmed that the request was copied to the respondent and that they would continue to comply with the directions.</w:t>
      </w:r>
    </w:p>
    <w:p>
      <w:pPr>
        <w:pStyle w:val="Heading1"/>
      </w:pPr>
      <w:r>
        <w:t>Why this is useful</w:t>
      </w:r>
    </w:p>
    <w:p>
      <w:pPr>
        <w:pStyle w:val="ListBullet"/>
      </w:pPr>
      <w:r>
        <w:t>It identifies the exact direction and default.</w:t>
      </w:r>
    </w:p>
    <w:p>
      <w:pPr>
        <w:pStyle w:val="ListBullet"/>
      </w:pPr>
      <w:r>
        <w:t>It explains the practical effect rather than asking for punishment.</w:t>
      </w:r>
    </w:p>
    <w:p>
      <w:pPr>
        <w:pStyle w:val="ListBullet"/>
      </w:pPr>
      <w:r>
        <w:t>It seeks a proportionate order and records service.</w:t>
      </w:r>
    </w:p>
    <w:sectPr w:rsidR="00FC693F" w:rsidRPr="0006063C" w:rsidSect="00034616">
      <w:footerReference w:type="default" r:id="rId9"/>
      <w:pgSz w:w="11906" w:h="16838"/>
      <w:pgMar w:top="1247" w:right="1247" w:bottom="1247" w:left="1247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Arial" w:hAnsi="Arial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3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Arial" w:hAnsi="Arial"/>
      <w:b/>
      <w:bCs/>
      <w:color w:val="000000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00" w:line="240" w:lineRule="auto" w:before="0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2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Worked example: FTT case-management request</dc:title>
  <dc:subject>Worked example for residential leaseholders in England</dc:subject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