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Money-claim readiness checklist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Check that a proposed County Court repayment claim has the correct party, legal basis, amount, pre-action steps and evidence before issue.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You are considering a fresh money claim after reviewing an FTT decision or service-charge account.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use it to assume CPR 70.5 is available, skip the correct-defendant analysis, or replace the current online-service/form instructions.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latest County Court order or issuing-service instructions, including the deadline, format and service method.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claim number and exact legal names of the parties.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source documents, amounts and evidence references needed to complete the body.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Complete the body from the source documents and use neutral, specific language.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completed entry: ‘Issue: [specific issue]. Evidence: document A12, page 34. Action: [specific next step and date].’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Court requirements: check the current order, form or issuing-service instructions and any live word or character limit.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Claim basis: the parties, material facts, legal basis, calculation and remedy are consistent across the documents.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Filing and service: use the required method by the deadline and retain the exact filed and served copies.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Pre-Action Conduct: https://www.justice.gov.uk/courts/procedure-rules/civil/rules/pd_pre-action_conduct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Make a money claim: https://www.gov.uk/make-court-claim-for-money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CPR Part 16: https://www.justice.gov.uk/courts/procedure-rules/civil/rules/part16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Money-claim readiness checklist</w:t>
      </w:r>
    </w:p>
    <w:p>
      <w:pPr>
        <w:pStyle w:val="Heading1"/>
      </w:pPr>
      <w:r>
        <w:t>Claim identity</w:t>
      </w:r>
    </w:p>
    <w:p>
      <w:pPr>
        <w:pStyle w:val="ListBullet"/>
      </w:pPr>
      <w:r>
        <w:t>Claimant’s exact legal name and address for service checked.</w:t>
      </w:r>
    </w:p>
    <w:p>
      <w:pPr>
        <w:pStyle w:val="ListBullet"/>
      </w:pPr>
      <w:r>
        <w:t>Defendant’s exact legal identity and service address checked from current reliable records.</w:t>
      </w:r>
    </w:p>
    <w:p>
      <w:pPr>
        <w:pStyle w:val="ListBullet"/>
      </w:pPr>
      <w:r>
        <w:t>Property, lease and account identifiers match the evidence.</w:t>
      </w:r>
    </w:p>
    <w:p>
      <w:pPr>
        <w:pStyle w:val="ListBullet"/>
      </w:pPr>
      <w:r>
        <w:t>Any limitation issue identified for advice or careful legal review.</w:t>
      </w:r>
    </w:p>
    <w:p>
      <w:pPr>
        <w:pStyle w:val="Heading1"/>
      </w:pPr>
      <w:r>
        <w:t>Legal and factual basis</w:t>
      </w:r>
    </w:p>
    <w:p>
      <w:pPr>
        <w:pStyle w:val="ListBullet"/>
      </w:pPr>
      <w:r>
        <w:t>The legal basis for repayment is stated—not merely ‘the FTT said so’.</w:t>
      </w:r>
    </w:p>
    <w:p>
      <w:pPr>
        <w:pStyle w:val="ListBullet"/>
      </w:pPr>
      <w:r>
        <w:t>Every FTT finding relied on is identified by decision and paragraph.</w:t>
      </w:r>
    </w:p>
    <w:p>
      <w:pPr>
        <w:pStyle w:val="ListBullet"/>
      </w:pPr>
      <w:r>
        <w:t>Any express payment order is distinguished from a declaratory determination.</w:t>
      </w:r>
    </w:p>
    <w:p>
      <w:pPr>
        <w:pStyle w:val="ListBullet"/>
      </w:pPr>
      <w:r>
        <w:t>Payments, credits, apportionment and later account entries have been reconciled.</w:t>
      </w:r>
    </w:p>
    <w:p>
      <w:pPr>
        <w:pStyle w:val="Heading1"/>
      </w:pPr>
      <w:r>
        <w:t>Pre-action and ADR</w:t>
      </w:r>
    </w:p>
    <w:p>
      <w:pPr>
        <w:pStyle w:val="ListBullet"/>
      </w:pPr>
      <w:r>
        <w:t>Focused letter before claim sent with amount, basis, key documents and response date.</w:t>
      </w:r>
    </w:p>
    <w:p>
      <w:pPr>
        <w:pStyle w:val="ListBullet"/>
      </w:pPr>
      <w:r>
        <w:t>Response and any disclosure considered.</w:t>
      </w:r>
    </w:p>
    <w:p>
      <w:pPr>
        <w:pStyle w:val="ListBullet"/>
      </w:pPr>
      <w:r>
        <w:t>Reasonable settlement/ADR option considered and recorded.</w:t>
      </w:r>
    </w:p>
    <w:p>
      <w:pPr>
        <w:pStyle w:val="ListBullet"/>
      </w:pPr>
      <w:r>
        <w:t>Proof of sending and receipt retained.</w:t>
      </w:r>
    </w:p>
    <w:p>
      <w:pPr>
        <w:pStyle w:val="Heading1"/>
      </w:pPr>
      <w:r>
        <w:t>Amount and issue route</w:t>
      </w:r>
    </w:p>
    <w:p>
      <w:pPr>
        <w:pStyle w:val="ListBullet"/>
      </w:pPr>
      <w:r>
        <w:t>Principal schedule independently checked.</w:t>
      </w:r>
    </w:p>
    <w:p>
      <w:pPr>
        <w:pStyle w:val="ListBullet"/>
      </w:pPr>
      <w:r>
        <w:t>Interest basis, rate, dates and daily rate checked; no double counting.</w:t>
      </w:r>
    </w:p>
    <w:p>
      <w:pPr>
        <w:pStyle w:val="ListBullet"/>
      </w:pPr>
      <w:r>
        <w:t>Court fee confirmed on the date of issue.</w:t>
      </w:r>
    </w:p>
    <w:p>
      <w:pPr>
        <w:pStyle w:val="ListBullet"/>
      </w:pPr>
      <w:r>
        <w:t>Current online service or paper form, particulars method and service steps confirmed.</w:t>
      </w:r>
    </w:p>
    <w:p>
      <w:pPr>
        <w:pStyle w:val="Heading1"/>
      </w:pPr>
      <w:r>
        <w:t>Evidence and filing</w:t>
      </w:r>
    </w:p>
    <w:p>
      <w:pPr>
        <w:pStyle w:val="ListBullet"/>
      </w:pPr>
      <w:r>
        <w:t>Particulars identify parties, material facts, legal basis, amount and remedy.</w:t>
      </w:r>
    </w:p>
    <w:p>
      <w:pPr>
        <w:pStyle w:val="ListBullet"/>
      </w:pPr>
      <w:r>
        <w:t>Statement of truth is current and signed by an authorised person.</w:t>
      </w:r>
    </w:p>
    <w:p>
      <w:pPr>
        <w:pStyle w:val="ListBullet"/>
      </w:pPr>
      <w:r>
        <w:t>Private and irrelevant material removed.</w:t>
      </w:r>
    </w:p>
    <w:p>
      <w:pPr>
        <w:pStyle w:val="ListBullet"/>
      </w:pPr>
      <w:r>
        <w:t>A complete issue copy and service record will be retained.</w:t>
      </w:r>
    </w:p>
    <w:p>
      <w:r>
        <w:rPr>
          <w:shd w:fill="FFF2CC"/>
        </w:rPr>
        <w:t>Decision: [ENTER READY / NOT READY]. Outstanding action: [ENTER]. Owner and date: [ENTER].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Money-claim readiness checklist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