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40" w:lineRule="auto"/>
      </w:pPr>
      <w:r>
        <w:rPr>
          <w:rFonts w:ascii="Calibri" w:hAnsi="Calibri"/>
          <w:b/>
          <w:color w:val="365975"/>
          <w:sz w:val="18"/>
        </w:rPr>
        <w:t>SERVICE CHARGE GUIDE</w:t>
      </w:r>
    </w:p>
    <w:p>
      <w:pPr>
        <w:pStyle w:val="Title"/>
        <w:pBdr>
          <w:bottom w:val="single" w:sz="8" w:color="365975"/>
        </w:pBdr>
        <w:spacing w:before="0" w:after="40" w:line="240" w:lineRule="auto"/>
      </w:pPr>
      <w:r>
        <w:rPr>
          <w:rFonts w:ascii="Calibri" w:hAnsi="Calibri"/>
          <w:color w:val="365975"/>
          <w:sz w:val="36"/>
        </w:rPr>
        <w:t>FTT costs application pack</w:t>
      </w:r>
    </w:p>
    <w:p>
      <w:pPr>
        <w:spacing w:before="0" w:after="40" w:line="240" w:lineRule="auto"/>
      </w:pPr>
      <w:r>
        <w:rPr>
          <w:rFonts w:ascii="Calibri" w:hAnsi="Calibri"/>
          <w:b/>
          <w:color w:val="202522"/>
          <w:sz w:val="18"/>
          <w:shd w:fill="FFF2CC"/>
        </w:rPr>
        <w:t>HOW TO USE THIS TEMPLATE — DELETE THIS OPENING GUIDE BEFORE SENDING, SERVING OR FILING</w:t>
      </w:r>
    </w:p>
    <w:p>
      <w:pPr>
        <w:spacing w:before="0" w:after="40" w:line="240" w:lineRule="auto"/>
      </w:pPr>
      <w:r>
        <w:rPr>
          <w:rFonts w:ascii="Calibri" w:hAnsi="Calibri"/>
          <w:color w:val="202522"/>
          <w:sz w:val="18"/>
        </w:rPr>
        <w:t>Keep tribunal fee reimbursement, section 20C, paragraph 5A and Rule 13 requests legally and evidentially separate.</w:t>
      </w:r>
    </w:p>
    <w:tbl>
      <w:tblPr>
        <w:tblStyle w:val="TableGrid"/>
        <w:tblW w:type="auto" w:w="0"/>
        <w:jc w:val="center"/>
        <w:tblLayout w:type="fixed"/>
        <w:tblLook w:firstColumn="1" w:firstRow="1" w:lastColumn="0" w:lastRow="0" w:noHBand="0" w:noVBand="1" w:val="04A0"/>
      </w:tblPr>
      <w:tblGrid>
        <w:gridCol w:w="4592"/>
        <w:gridCol w:w="4592"/>
      </w:tblGrid>
      <w:tr>
        <w:trPr>
          <w:tblHeader w:val="true"/>
          <w:cantSplit/>
        </w:trPr>
        <w:tc>
          <w:tcPr>
            <w:tcW w:type="dxa" w:w="4592"/>
            <w:shd w:fill="365975"/>
            <w:tcMar>
              <w:top w:w="45" w:type="dxa"/>
              <w:start w:w="70" w:type="dxa"/>
              <w:bottom w:w="45" w:type="dxa"/>
              <w:end w:w="70" w:type="dxa"/>
            </w:tcMar>
            <w:vAlign w:val="center"/>
          </w:tcPr>
          <w:p>
            <w:pPr>
              <w:spacing w:after="0" w:line="240" w:lineRule="auto"/>
            </w:pPr>
            <w:r>
              <w:rPr>
                <w:rFonts w:ascii="Calibri" w:hAnsi="Calibri"/>
                <w:b/>
                <w:color w:val="FFFFFF"/>
                <w:sz w:val="18"/>
              </w:rPr>
              <w:t>Use this when</w:t>
            </w:r>
          </w:p>
        </w:tc>
        <w:tc>
          <w:tcPr>
            <w:tcW w:type="dxa" w:w="4592"/>
            <w:shd w:fill="365975"/>
            <w:tcMar>
              <w:top w:w="45" w:type="dxa"/>
              <w:start w:w="70" w:type="dxa"/>
              <w:bottom w:w="45" w:type="dxa"/>
              <w:end w:w="70" w:type="dxa"/>
            </w:tcMar>
            <w:vAlign w:val="center"/>
          </w:tcPr>
          <w:p>
            <w:pPr>
              <w:spacing w:after="0" w:line="240" w:lineRule="auto"/>
            </w:pPr>
            <w:r>
              <w:rPr>
                <w:rFonts w:ascii="Calibri" w:hAnsi="Calibri"/>
                <w:b/>
                <w:color w:val="FFFFFF"/>
                <w:sz w:val="18"/>
              </w:rPr>
              <w:t>Do not use this when</w:t>
            </w:r>
          </w:p>
        </w:tc>
      </w:tr>
      <w:tr>
        <w:trPr>
          <w:cantSplit/>
        </w:trPr>
        <w:tc>
          <w:tcPr>
            <w:tcW w:type="dxa" w:w="4592"/>
            <w:tcMar>
              <w:top w:w="45" w:type="dxa"/>
              <w:start w:w="70" w:type="dxa"/>
              <w:bottom w:w="45" w:type="dxa"/>
              <w:end w:w="70" w:type="dxa"/>
            </w:tcMar>
          </w:tcPr>
          <w:p>
            <w:pPr>
              <w:spacing w:after="0" w:line="240" w:lineRule="auto"/>
            </w:pPr>
            <w:r>
              <w:rPr>
                <w:rFonts w:ascii="Calibri" w:hAnsi="Calibri"/>
                <w:sz w:val="18"/>
              </w:rPr>
              <w:t>You need to record or make one or more costs-related requests in an FTT case, subject to the rules and directions.</w:t>
            </w:r>
          </w:p>
        </w:tc>
        <w:tc>
          <w:tcPr>
            <w:tcW w:type="dxa" w:w="4592"/>
            <w:tcMar>
              <w:top w:w="45" w:type="dxa"/>
              <w:start w:w="70" w:type="dxa"/>
              <w:bottom w:w="45" w:type="dxa"/>
              <w:end w:w="70" w:type="dxa"/>
            </w:tcMar>
          </w:tcPr>
          <w:p>
            <w:pPr>
              <w:spacing w:after="0" w:line="240" w:lineRule="auto"/>
            </w:pPr>
            <w:r>
              <w:rPr>
                <w:rFonts w:ascii="Calibri" w:hAnsi="Calibri"/>
                <w:sz w:val="18"/>
              </w:rPr>
              <w:t>Success alone does not prove unreasonable conduct. The Tribunal decides whether to award costs and their scope; an award is not confined to costs caused by the conduct.</w:t>
            </w:r>
          </w:p>
        </w:tc>
      </w:tr>
    </w:tbl>
    <w:p>
      <w:pPr>
        <w:spacing w:before="0" w:after="40" w:line="240" w:lineRule="auto"/>
      </w:pPr>
    </w:p>
    <w:p>
      <w:pPr>
        <w:pStyle w:val="Heading1"/>
        <w:spacing w:before="0" w:after="40" w:line="240" w:lineRule="auto"/>
      </w:pPr>
      <w:r>
        <w:rPr>
          <w:rFonts w:ascii="Calibri" w:hAnsi="Calibri"/>
          <w:color w:val="365975"/>
          <w:sz w:val="20"/>
        </w:rPr>
        <w:t>Before you start</w:t>
      </w:r>
    </w:p>
    <w:p>
      <w:pPr>
        <w:pStyle w:val="ListBullet"/>
        <w:spacing w:before="0" w:after="40" w:line="240" w:lineRule="auto"/>
      </w:pPr>
      <w:r>
        <w:rPr>
          <w:rFonts w:ascii="Calibri" w:hAnsi="Calibri"/>
          <w:color w:val="202522"/>
          <w:sz w:val="18"/>
        </w:rPr>
        <w:t>The latest FTT directions or order, including the paragraph, deadline, format and recipients for this task.</w:t>
      </w:r>
    </w:p>
    <w:p>
      <w:pPr>
        <w:pStyle w:val="ListBullet"/>
        <w:spacing w:before="0" w:after="40" w:line="240" w:lineRule="auto"/>
      </w:pPr>
      <w:r>
        <w:rPr>
          <w:rFonts w:ascii="Calibri" w:hAnsi="Calibri"/>
          <w:color w:val="202522"/>
          <w:sz w:val="18"/>
        </w:rPr>
        <w:t>The case reference and the correct names of every party.</w:t>
      </w:r>
    </w:p>
    <w:p>
      <w:pPr>
        <w:pStyle w:val="ListBullet"/>
        <w:spacing w:before="0" w:after="40" w:line="240" w:lineRule="auto"/>
      </w:pPr>
      <w:r>
        <w:rPr>
          <w:rFonts w:ascii="Calibri" w:hAnsi="Calibri"/>
          <w:color w:val="202522"/>
          <w:sz w:val="18"/>
        </w:rPr>
        <w:t>For Rule 13, apply and serve the other side within 28 days after the Tribunal sends its decision finally disposing of all issues or notice of withdrawal. Check Rule 13(4)–(5), the precise trigger and any directions.</w:t>
      </w:r>
    </w:p>
    <w:p>
      <w:pPr>
        <w:pStyle w:val="Heading1"/>
        <w:spacing w:before="0" w:after="40" w:line="240" w:lineRule="auto"/>
      </w:pPr>
      <w:r>
        <w:rPr>
          <w:rFonts w:ascii="Calibri" w:hAnsi="Calibri"/>
          <w:color w:val="365975"/>
          <w:sz w:val="20"/>
        </w:rPr>
        <w:t>Complete it in this order</w:t>
      </w:r>
    </w:p>
    <w:p>
      <w:pPr>
        <w:spacing w:before="0" w:after="40" w:line="240" w:lineRule="auto"/>
        <w:ind w:left="454" w:hanging="283"/>
      </w:pPr>
      <w:r>
        <w:rPr>
          <w:rFonts w:ascii="Calibri" w:hAnsi="Calibri"/>
          <w:color w:val="202522"/>
          <w:sz w:val="18"/>
        </w:rPr>
        <w:t>1. Read the latest directions, order or online-service instructions. They take priority over this template.</w:t>
      </w:r>
    </w:p>
    <w:p>
      <w:pPr>
        <w:spacing w:before="0" w:after="40" w:line="240" w:lineRule="auto"/>
        <w:ind w:left="454" w:hanging="283"/>
      </w:pPr>
      <w:r>
        <w:rPr>
          <w:rFonts w:ascii="Calibri" w:hAnsi="Calibri"/>
          <w:color w:val="202522"/>
          <w:sz w:val="18"/>
          <w:shd w:fill="FFF2CC"/>
        </w:rPr>
        <w:t>2. Save a working copy. Replace every yellow [ENTER …] placeholder and deal with every [DELETE IF NOT APPLICABLE …] instruction.</w:t>
      </w:r>
    </w:p>
    <w:p>
      <w:pPr>
        <w:spacing w:before="0" w:after="40" w:line="240" w:lineRule="auto"/>
        <w:ind w:left="454" w:hanging="283"/>
      </w:pPr>
      <w:r>
        <w:rPr>
          <w:rFonts w:ascii="Calibri" w:hAnsi="Calibri"/>
          <w:color w:val="202522"/>
          <w:sz w:val="18"/>
        </w:rPr>
        <w:t>3. Complete the body from the source documents and use neutral, specific language.</w:t>
      </w:r>
    </w:p>
    <w:p>
      <w:pPr>
        <w:spacing w:before="0" w:after="40" w:line="240" w:lineRule="auto"/>
        <w:ind w:left="454" w:hanging="283"/>
      </w:pPr>
      <w:r>
        <w:rPr>
          <w:rFonts w:ascii="Calibri" w:hAnsi="Calibri"/>
          <w:color w:val="202522"/>
          <w:sz w:val="18"/>
        </w:rPr>
        <w:t>4. Check every date, amount, name, exhibit and page reference against the source document; do not rely on memory.</w:t>
      </w:r>
    </w:p>
    <w:p>
      <w:pPr>
        <w:spacing w:before="0" w:after="40" w:line="240" w:lineRule="auto"/>
        <w:ind w:left="454" w:hanging="283"/>
      </w:pPr>
      <w:r>
        <w:rPr>
          <w:rFonts w:ascii="Calibri" w:hAnsi="Calibri"/>
          <w:color w:val="202522"/>
          <w:sz w:val="18"/>
        </w:rPr>
        <w:t>5. Delete this opening guide and every drafting note. Export or print the clean body only if that is what the recipient requires.</w:t>
      </w:r>
    </w:p>
    <w:p>
      <w:pPr>
        <w:pStyle w:val="Heading1"/>
        <w:spacing w:before="0" w:after="40" w:line="240" w:lineRule="auto"/>
      </w:pPr>
      <w:r>
        <w:rPr>
          <w:rFonts w:ascii="Calibri" w:hAnsi="Calibri"/>
          <w:color w:val="365975"/>
          <w:sz w:val="20"/>
        </w:rPr>
        <w:t>Miniature completed example</w:t>
      </w:r>
    </w:p>
    <w:p>
      <w:pPr>
        <w:spacing w:before="0" w:after="40" w:line="240" w:lineRule="auto"/>
        <w:ind w:left="283" w:right="283"/>
        <w:pBdr>
          <w:bottom w:val="single" w:sz="8" w:color="365975"/>
        </w:pBdr>
      </w:pPr>
      <w:r>
        <w:rPr>
          <w:rFonts w:ascii="Calibri" w:hAnsi="Calibri"/>
          <w:color w:val="202522"/>
          <w:sz w:val="18"/>
        </w:rPr>
        <w:t>Example completed entry: ‘Issue: [specific issue]. Evidence: document A12, page 34. Action: [specific next step and date].’</w:t>
      </w:r>
    </w:p>
    <w:p>
      <w:pPr>
        <w:pStyle w:val="Heading1"/>
        <w:spacing w:before="0" w:after="40" w:line="240" w:lineRule="auto"/>
      </w:pPr>
      <w:r>
        <w:rPr>
          <w:rFonts w:ascii="Calibri" w:hAnsi="Calibri"/>
          <w:color w:val="365975"/>
          <w:sz w:val="20"/>
        </w:rPr>
        <w:t>Final accuracy, privacy, filing and service check</w:t>
      </w:r>
    </w:p>
    <w:p>
      <w:pPr>
        <w:pStyle w:val="ListBullet"/>
        <w:spacing w:before="0" w:after="40" w:line="240" w:lineRule="auto"/>
      </w:pPr>
      <w:r>
        <w:rPr>
          <w:rFonts w:ascii="Calibri" w:hAnsi="Calibri"/>
          <w:color w:val="202522"/>
          <w:sz w:val="18"/>
        </w:rPr>
        <w:t>Accuracy: names, property, dates, amounts and cross-references match the source records.</w:t>
      </w:r>
    </w:p>
    <w:p>
      <w:pPr>
        <w:pStyle w:val="ListBullet"/>
        <w:spacing w:before="0" w:after="40" w:line="240" w:lineRule="auto"/>
      </w:pPr>
      <w:r>
        <w:rPr>
          <w:rFonts w:ascii="Calibri" w:hAnsi="Calibri"/>
          <w:color w:val="202522"/>
          <w:sz w:val="18"/>
        </w:rPr>
        <w:t>Privacy: remove signatures, bank details, private addresses and unrelated personal material unless they are required.</w:t>
      </w:r>
    </w:p>
    <w:p>
      <w:pPr>
        <w:pStyle w:val="ListBullet"/>
        <w:spacing w:before="0" w:after="40" w:line="240" w:lineRule="auto"/>
      </w:pPr>
      <w:r>
        <w:rPr>
          <w:rFonts w:ascii="Calibri" w:hAnsi="Calibri"/>
          <w:color w:val="202522"/>
          <w:sz w:val="18"/>
        </w:rPr>
        <w:t>Clean copy: remove this guide, yellow highlighting, drafting notes and unused alternatives.</w:t>
      </w:r>
    </w:p>
    <w:p>
      <w:pPr>
        <w:pStyle w:val="ListBullet"/>
        <w:spacing w:before="0" w:after="40" w:line="240" w:lineRule="auto"/>
      </w:pPr>
      <w:r>
        <w:rPr>
          <w:rFonts w:ascii="Calibri" w:hAnsi="Calibri"/>
          <w:color w:val="202522"/>
          <w:sz w:val="18"/>
        </w:rPr>
        <w:t>Directions: the document follows the current FTT directions, including its deadline, format and page limit.</w:t>
      </w:r>
    </w:p>
    <w:p>
      <w:pPr>
        <w:pStyle w:val="ListBullet"/>
        <w:spacing w:before="0" w:after="40" w:line="240" w:lineRule="auto"/>
      </w:pPr>
      <w:r>
        <w:rPr>
          <w:rFonts w:ascii="Calibri" w:hAnsi="Calibri"/>
          <w:color w:val="202522"/>
          <w:sz w:val="18"/>
        </w:rPr>
        <w:t>Orders sought: each request is stated separately and does not overstate what the Tribunal can or has already ordered.</w:t>
      </w:r>
    </w:p>
    <w:p>
      <w:pPr>
        <w:pStyle w:val="ListBullet"/>
        <w:spacing w:before="0" w:after="40" w:line="240" w:lineRule="auto"/>
      </w:pPr>
      <w:r>
        <w:rPr>
          <w:rFonts w:ascii="Calibri" w:hAnsi="Calibri"/>
          <w:color w:val="202522"/>
          <w:sz w:val="18"/>
        </w:rPr>
        <w:t>Service: send the same final version to every required party and the Tribunal, retaining proof.</w:t>
      </w:r>
    </w:p>
    <w:p>
      <w:pPr>
        <w:pStyle w:val="Heading1"/>
        <w:spacing w:before="0" w:after="40" w:line="240" w:lineRule="auto"/>
      </w:pPr>
      <w:r>
        <w:rPr>
          <w:rFonts w:ascii="Calibri" w:hAnsi="Calibri"/>
          <w:color w:val="365975"/>
          <w:sz w:val="20"/>
        </w:rPr>
        <w:t>Official sources and review date</w:t>
      </w:r>
    </w:p>
    <w:p>
      <w:pPr>
        <w:pStyle w:val="ListBullet"/>
        <w:spacing w:before="0" w:after="40" w:line="240" w:lineRule="auto"/>
      </w:pPr>
      <w:r>
        <w:rPr>
          <w:rFonts w:ascii="Calibri" w:hAnsi="Calibri"/>
          <w:color w:val="202522"/>
          <w:sz w:val="18"/>
        </w:rPr>
        <w:t>T541 case-preparation guidance: https://www.gov.uk/government/publications/service-and-administration-charges-and-management-matters-t541/service-charges-administration-charges-and-other-management-matters-in-the-property-tribunal</w:t>
      </w:r>
    </w:p>
    <w:p>
      <w:pPr>
        <w:pStyle w:val="ListBullet"/>
        <w:spacing w:before="0" w:after="40" w:line="240" w:lineRule="auto"/>
      </w:pPr>
      <w:r>
        <w:rPr>
          <w:rFonts w:ascii="Calibri" w:hAnsi="Calibri"/>
          <w:color w:val="202522"/>
          <w:sz w:val="18"/>
        </w:rPr>
        <w:t>Tribunal Procedure (First-tier Tribunal) (Property Chamber) Rules 2013: https://www.legislation.gov.uk/uksi/2013/1169/contents</w:t>
      </w:r>
    </w:p>
    <w:p>
      <w:pPr>
        <w:pStyle w:val="ListBullet"/>
        <w:spacing w:before="0" w:after="40" w:line="240" w:lineRule="auto"/>
      </w:pPr>
      <w:r>
        <w:rPr>
          <w:rFonts w:ascii="Calibri" w:hAnsi="Calibri"/>
          <w:color w:val="202522"/>
          <w:sz w:val="18"/>
        </w:rPr>
        <w:t>Willow Court Management Co (1985) Ltd v Alexander [2016] UKUT 290 (LC): https://landschamber.decisions.tribunals.gov.uk/judgmentfiles/j1253/LRX%2090%2099%2088-2015.pdf</w:t>
      </w:r>
    </w:p>
    <w:p>
      <w:pPr>
        <w:spacing w:before="0" w:after="40" w:line="240" w:lineRule="auto"/>
      </w:pPr>
      <w:r>
        <w:rPr>
          <w:rFonts w:ascii="Calibri" w:hAnsi="Calibri"/>
          <w:color w:val="202522"/>
          <w:sz w:val="18"/>
        </w:rPr>
        <w:t>Content reviewed: 5 September 2026. Recheck the sources and any case-specific directions before use.</w:t>
      </w:r>
    </w:p>
    <w:p>
      <w:pPr>
        <w:spacing w:before="0" w:after="40" w:line="240" w:lineRule="auto"/>
      </w:pPr>
      <w:r>
        <w:rPr>
          <w:rFonts w:ascii="Calibri" w:hAnsi="Calibri"/>
          <w:b/>
          <w:color w:val="202522"/>
          <w:sz w:val="18"/>
        </w:rPr>
        <w:t xml:space="preserve">Legal information, not advice. </w:t>
      </w:r>
      <w:r>
        <w:rPr>
          <w:rFonts w:ascii="Calibri" w:hAnsi="Calibri"/>
          <w:color w:val="202522"/>
          <w:sz w:val="18"/>
        </w:rPr>
        <w:t>This template cannot select the correct party, remedy, evidence or legal basis for your case.</w:t>
      </w:r>
    </w:p>
    <w:p>
      <w:r>
        <w:rPr>
          <w:rFonts w:ascii="Calibri" w:hAnsi="Calibri"/>
          <w:color w:val="202522"/>
        </w:rPr>
        <w:br w:type="page"/>
      </w:r>
    </w:p>
    <w:p>
      <w:pPr>
        <w:pStyle w:val="Title"/>
      </w:pPr>
      <w:r>
        <w:t>FTT costs application pack</w:t>
      </w:r>
    </w:p>
    <w:tbl>
      <w:tblPr>
        <w:tblStyle w:val="TableGrid"/>
        <w:tblW w:type="auto" w:w="0"/>
        <w:jc w:val="center"/>
        <w:tblLayout w:type="fixed"/>
        <w:tblLook w:firstColumn="1" w:firstRow="1" w:lastColumn="0" w:lastRow="0" w:noHBand="0" w:noVBand="1" w:val="04A0"/>
      </w:tblPr>
      <w:tblGrid>
        <w:gridCol w:w="3061"/>
        <w:gridCol w:w="3061"/>
        <w:gridCol w:w="3061"/>
      </w:tblGrid>
      <w:tr>
        <w:trPr>
          <w:tblHeader w:val="true"/>
          <w:cantSplit/>
        </w:trPr>
        <w:tc>
          <w:tcPr>
            <w:tcW w:type="dxa" w:w="3061"/>
            <w:shd w:fill="E6E6E6"/>
            <w:tcMar>
              <w:top w:w="110" w:type="dxa"/>
              <w:start w:w="120" w:type="dxa"/>
              <w:bottom w:w="110" w:type="dxa"/>
              <w:end w:w="120" w:type="dxa"/>
            </w:tcMar>
            <w:vAlign w:val="center"/>
          </w:tcPr>
          <w:p>
            <w:r>
              <w:rPr>
                <w:b/>
                <w:color w:val="000000"/>
                <w:sz w:val="20"/>
              </w:rPr>
              <w:t>Case</w:t>
            </w:r>
          </w:p>
        </w:tc>
        <w:tc>
          <w:tcPr>
            <w:tcW w:type="dxa" w:w="3061"/>
            <w:shd w:fill="E6E6E6"/>
            <w:tcMar>
              <w:top w:w="110" w:type="dxa"/>
              <w:start w:w="120" w:type="dxa"/>
              <w:bottom w:w="110" w:type="dxa"/>
              <w:end w:w="120" w:type="dxa"/>
            </w:tcMar>
            <w:vAlign w:val="center"/>
          </w:tcPr>
          <w:p>
            <w:r>
              <w:rPr>
                <w:b/>
                <w:color w:val="000000"/>
                <w:sz w:val="20"/>
              </w:rPr>
              <w:t>Applicant for order</w:t>
            </w:r>
          </w:p>
        </w:tc>
        <w:tc>
          <w:tcPr>
            <w:tcW w:type="dxa" w:w="3061"/>
            <w:shd w:fill="E6E6E6"/>
            <w:tcMar>
              <w:top w:w="110" w:type="dxa"/>
              <w:start w:w="120" w:type="dxa"/>
              <w:bottom w:w="110" w:type="dxa"/>
              <w:end w:w="120" w:type="dxa"/>
            </w:tcMar>
            <w:vAlign w:val="center"/>
          </w:tcPr>
          <w:p>
            <w:r>
              <w:rPr>
                <w:b/>
                <w:color w:val="000000"/>
                <w:sz w:val="20"/>
              </w:rPr>
              <w:t>Application date / deadline</w:t>
            </w:r>
          </w:p>
        </w:tc>
      </w:tr>
      <w:tr>
        <w:trPr>
          <w:cantSplit/>
        </w:trPr>
        <w:tc>
          <w:tcPr>
            <w:tcW w:type="dxa" w:w="3061"/>
            <w:tcMar>
              <w:top w:w="110" w:type="dxa"/>
              <w:start w:w="120" w:type="dxa"/>
              <w:bottom w:w="110" w:type="dxa"/>
              <w:end w:w="120" w:type="dxa"/>
            </w:tcMar>
          </w:tcPr>
          <w:p>
            <w:r>
              <w:rPr>
                <w:sz w:val="20"/>
                <w:shd w:fill="FFF2CC"/>
              </w:rPr>
              <w:t>[ENTER]</w:t>
            </w:r>
          </w:p>
        </w:tc>
        <w:tc>
          <w:tcPr>
            <w:tcW w:type="dxa" w:w="3061"/>
            <w:tcMar>
              <w:top w:w="110" w:type="dxa"/>
              <w:start w:w="120" w:type="dxa"/>
              <w:bottom w:w="110" w:type="dxa"/>
              <w:end w:w="120" w:type="dxa"/>
            </w:tcMar>
          </w:tcPr>
          <w:p>
            <w:r>
              <w:rPr>
                <w:sz w:val="20"/>
                <w:shd w:fill="FFF2CC"/>
              </w:rPr>
              <w:t>[ENTER]</w:t>
            </w:r>
          </w:p>
        </w:tc>
        <w:tc>
          <w:tcPr>
            <w:tcW w:type="dxa" w:w="3061"/>
            <w:tcMar>
              <w:top w:w="110" w:type="dxa"/>
              <w:start w:w="120" w:type="dxa"/>
              <w:bottom w:w="110" w:type="dxa"/>
              <w:end w:w="120" w:type="dxa"/>
            </w:tcMar>
          </w:tcPr>
          <w:p>
            <w:r>
              <w:rPr>
                <w:sz w:val="20"/>
                <w:shd w:fill="FFF2CC"/>
              </w:rPr>
              <w:t>[ENTER DATE / RULE 13(5) DEADLINE]</w:t>
            </w:r>
          </w:p>
        </w:tc>
      </w:tr>
    </w:tbl>
    <w:p/>
    <w:p>
      <w:pPr>
        <w:pStyle w:val="Heading1"/>
      </w:pPr>
      <w:r>
        <w:t>A. Tribunal fee reimbursement</w:t>
      </w:r>
    </w:p>
    <w:p>
      <w:r>
        <w:rPr>
          <w:shd w:fill="FFF2CC"/>
        </w:rPr>
        <w:t>Fee paid: £[ENTER]. Receipt/reference: [ENTER]. Order requested and basis: [ENTER].</w:t>
      </w:r>
    </w:p>
    <w:p>
      <w:pPr>
        <w:pStyle w:val="Heading1"/>
      </w:pPr>
      <w:r>
        <w:t>B. Section 20C</w:t>
      </w:r>
    </w:p>
    <w:p>
      <w:r>
        <w:rPr>
          <w:shd w:fill="FFF2CC"/>
        </w:rPr>
        <w:t>[DELETE IF NOT APPLICABLE — identify the lease route for litigation costs, the persons/properties covered and why the order is just and equitable].</w:t>
      </w:r>
    </w:p>
    <w:p>
      <w:pPr>
        <w:pStyle w:val="Heading1"/>
      </w:pPr>
      <w:r>
        <w:t>C. Paragraph 5A</w:t>
      </w:r>
    </w:p>
    <w:p>
      <w:r>
        <w:rPr>
          <w:shd w:fill="FFF2CC"/>
        </w:rPr>
        <w:t>[DELETE IF NOT APPLICABLE — identify the possible administration charge, the order requested and why it should be reduced or extinguished].</w:t>
      </w:r>
    </w:p>
    <w:p>
      <w:pPr>
        <w:pStyle w:val="Heading1"/>
      </w:pPr>
      <w:r>
        <w:t>D. Rule 13</w:t>
      </w:r>
    </w:p>
    <w:p>
      <w:r>
        <w:rPr>
          <w:shd w:fill="FFF2CC"/>
        </w:rPr>
        <w:t>[DELETE IF NOT APPLICABLE — identify the conduct, explanations considered, why it was unreasonable, and the costs requested. Explain why an award and its scope are justified. Attach a detailed schedule and supporting records].</w:t>
      </w:r>
    </w:p>
    <w:p>
      <w:pPr>
        <w:pStyle w:val="Heading1"/>
      </w:pPr>
      <w:r>
        <w:t>Schedule of amount requested</w:t>
      </w:r>
    </w:p>
    <w:tbl>
      <w:tblPr>
        <w:tblStyle w:val="TableGrid"/>
        <w:tblW w:type="auto" w:w="0"/>
        <w:jc w:val="center"/>
        <w:tblLayout w:type="fixed"/>
        <w:tblLook w:firstColumn="1" w:firstRow="1" w:lastColumn="0" w:lastRow="0" w:noHBand="0" w:noVBand="1" w:val="04A0"/>
      </w:tblPr>
      <w:tblGrid>
        <w:gridCol w:w="1417"/>
        <w:gridCol w:w="2268"/>
        <w:gridCol w:w="1304"/>
        <w:gridCol w:w="1984"/>
        <w:gridCol w:w="2268"/>
      </w:tblGrid>
      <w:tr>
        <w:trPr>
          <w:tblHeader w:val="true"/>
          <w:cantSplit/>
        </w:trPr>
        <w:tc>
          <w:tcPr>
            <w:tcW w:type="dxa" w:w="1417"/>
            <w:shd w:fill="E6E6E6"/>
            <w:tcMar>
              <w:top w:w="110" w:type="dxa"/>
              <w:start w:w="120" w:type="dxa"/>
              <w:bottom w:w="110" w:type="dxa"/>
              <w:end w:w="120" w:type="dxa"/>
            </w:tcMar>
            <w:vAlign w:val="center"/>
          </w:tcPr>
          <w:p>
            <w:r>
              <w:rPr>
                <w:b/>
                <w:color w:val="000000"/>
                <w:sz w:val="20"/>
              </w:rPr>
              <w:t>Route</w:t>
            </w:r>
          </w:p>
        </w:tc>
        <w:tc>
          <w:tcPr>
            <w:tcW w:type="dxa" w:w="2268"/>
            <w:shd w:fill="E6E6E6"/>
            <w:tcMar>
              <w:top w:w="110" w:type="dxa"/>
              <w:start w:w="120" w:type="dxa"/>
              <w:bottom w:w="110" w:type="dxa"/>
              <w:end w:w="120" w:type="dxa"/>
            </w:tcMar>
            <w:vAlign w:val="center"/>
          </w:tcPr>
          <w:p>
            <w:r>
              <w:rPr>
                <w:b/>
                <w:color w:val="000000"/>
                <w:sz w:val="20"/>
              </w:rPr>
              <w:t>Item</w:t>
            </w:r>
          </w:p>
        </w:tc>
        <w:tc>
          <w:tcPr>
            <w:tcW w:type="dxa" w:w="1304"/>
            <w:shd w:fill="E6E6E6"/>
            <w:tcMar>
              <w:top w:w="110" w:type="dxa"/>
              <w:start w:w="120" w:type="dxa"/>
              <w:bottom w:w="110" w:type="dxa"/>
              <w:end w:w="120" w:type="dxa"/>
            </w:tcMar>
            <w:vAlign w:val="center"/>
          </w:tcPr>
          <w:p>
            <w:r>
              <w:rPr>
                <w:b/>
                <w:color w:val="000000"/>
                <w:sz w:val="20"/>
              </w:rPr>
              <w:t>Amount</w:t>
            </w:r>
          </w:p>
        </w:tc>
        <w:tc>
          <w:tcPr>
            <w:tcW w:type="dxa" w:w="1984"/>
            <w:shd w:fill="E6E6E6"/>
            <w:tcMar>
              <w:top w:w="110" w:type="dxa"/>
              <w:start w:w="120" w:type="dxa"/>
              <w:bottom w:w="110" w:type="dxa"/>
              <w:end w:w="120" w:type="dxa"/>
            </w:tcMar>
            <w:vAlign w:val="center"/>
          </w:tcPr>
          <w:p>
            <w:r>
              <w:rPr>
                <w:b/>
                <w:color w:val="000000"/>
                <w:sz w:val="20"/>
              </w:rPr>
              <w:t>Evidence</w:t>
            </w:r>
          </w:p>
        </w:tc>
        <w:tc>
          <w:tcPr>
            <w:tcW w:type="dxa" w:w="2268"/>
            <w:shd w:fill="E6E6E6"/>
            <w:tcMar>
              <w:top w:w="110" w:type="dxa"/>
              <w:start w:w="120" w:type="dxa"/>
              <w:bottom w:w="110" w:type="dxa"/>
              <w:end w:w="120" w:type="dxa"/>
            </w:tcMar>
            <w:vAlign w:val="center"/>
          </w:tcPr>
          <w:p>
            <w:r>
              <w:rPr>
                <w:b/>
                <w:color w:val="000000"/>
                <w:sz w:val="20"/>
              </w:rPr>
              <w:t>Causation / basis</w:t>
            </w:r>
          </w:p>
        </w:tc>
      </w:tr>
      <w:tr>
        <w:trPr>
          <w:cantSplit/>
        </w:trPr>
        <w:tc>
          <w:tcPr>
            <w:tcW w:type="dxa" w:w="1417"/>
            <w:tcMar>
              <w:top w:w="110" w:type="dxa"/>
              <w:start w:w="120" w:type="dxa"/>
              <w:bottom w:w="110" w:type="dxa"/>
              <w:end w:w="120" w:type="dxa"/>
            </w:tcMar>
          </w:tcPr>
          <w:p>
            <w:r>
              <w:rPr>
                <w:sz w:val="20"/>
                <w:shd w:fill="FFF2CC"/>
              </w:rPr>
              <w:t>[ENTER]</w:t>
            </w:r>
          </w:p>
        </w:tc>
        <w:tc>
          <w:tcPr>
            <w:tcW w:type="dxa" w:w="2268"/>
            <w:tcMar>
              <w:top w:w="110" w:type="dxa"/>
              <w:start w:w="120" w:type="dxa"/>
              <w:bottom w:w="110" w:type="dxa"/>
              <w:end w:w="120" w:type="dxa"/>
            </w:tcMar>
          </w:tcPr>
          <w:p>
            <w:r>
              <w:rPr>
                <w:sz w:val="20"/>
                <w:shd w:fill="FFF2CC"/>
              </w:rPr>
              <w:t>[ENTER]</w:t>
            </w:r>
          </w:p>
        </w:tc>
        <w:tc>
          <w:tcPr>
            <w:tcW w:type="dxa" w:w="1304"/>
            <w:tcMar>
              <w:top w:w="110" w:type="dxa"/>
              <w:start w:w="120" w:type="dxa"/>
              <w:bottom w:w="110" w:type="dxa"/>
              <w:end w:w="120" w:type="dxa"/>
            </w:tcMar>
          </w:tcPr>
          <w:p>
            <w:r>
              <w:rPr>
                <w:sz w:val="20"/>
                <w:shd w:fill="FFF2CC"/>
              </w:rPr>
              <w:t>£[ENTER]</w:t>
            </w:r>
          </w:p>
        </w:tc>
        <w:tc>
          <w:tcPr>
            <w:tcW w:type="dxa" w:w="1984"/>
            <w:tcMar>
              <w:top w:w="110" w:type="dxa"/>
              <w:start w:w="120" w:type="dxa"/>
              <w:bottom w:w="110" w:type="dxa"/>
              <w:end w:w="120" w:type="dxa"/>
            </w:tcMar>
          </w:tcPr>
          <w:p>
            <w:r>
              <w:rPr>
                <w:sz w:val="20"/>
                <w:shd w:fill="FFF2CC"/>
              </w:rPr>
              <w:t>[ENTER]</w:t>
            </w:r>
          </w:p>
        </w:tc>
        <w:tc>
          <w:tcPr>
            <w:tcW w:type="dxa" w:w="2268"/>
            <w:tcMar>
              <w:top w:w="110" w:type="dxa"/>
              <w:start w:w="120" w:type="dxa"/>
              <w:bottom w:w="110" w:type="dxa"/>
              <w:end w:w="120" w:type="dxa"/>
            </w:tcMar>
          </w:tcPr>
          <w:p>
            <w:r>
              <w:rPr>
                <w:sz w:val="20"/>
                <w:shd w:fill="FFF2CC"/>
              </w:rPr>
              <w:t>[ENTER]</w:t>
            </w:r>
          </w:p>
        </w:tc>
      </w:tr>
    </w:tbl>
    <w:p/>
    <w:p>
      <w:r>
        <w:rPr>
          <w:shd w:fill="FFF2CC"/>
        </w:rPr>
        <w:t>Signed: [ENTER NAME]    Dated: [ENTER DATE]</w:t>
      </w:r>
    </w:p>
    <w:sectPr w:rsidR="00FC693F" w:rsidRPr="0006063C" w:rsidSect="00034616">
      <w:footerReference w:type="default" r:id="rId9"/>
      <w:pgSz w:w="11906" w:h="16838"/>
      <w:pgMar w:top="124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FTT costs application pack</dc:title>
  <dc:subject>Standalone practical template for residential leaseholders in England</dc:subject>
  <dc:creator/>
  <cp:keywords/>
  <dc:description/>
  <cp:lastModifiedBy/>
  <cp:revision>1</cp:revision>
  <dcterms:created xsi:type="dcterms:W3CDTF">2013-12-23T23:15:00Z</dcterms:created>
  <dcterms:modified xsi:type="dcterms:W3CDTF">2013-12-23T23:15:00Z</dcterms:modified>
  <cp:category/>
</cp:coreProperties>
</file>