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Calibri" w:hAnsi="Calibri"/>
          <w:b/>
          <w:color w:val="365975"/>
          <w:sz w:val="18"/>
        </w:rPr>
        <w:t>SERVICE CHARGE GUIDE</w:t>
      </w:r>
    </w:p>
    <w:p>
      <w:pPr>
        <w:pStyle w:val="Title"/>
        <w:pBdr>
          <w:bottom w:val="single" w:sz="8" w:color="365975"/>
        </w:pBdr>
        <w:spacing w:before="0" w:after="40" w:line="240" w:lineRule="auto"/>
      </w:pPr>
      <w:r>
        <w:rPr>
          <w:rFonts w:ascii="Calibri" w:hAnsi="Calibri"/>
          <w:color w:val="365975"/>
          <w:sz w:val="36"/>
        </w:rPr>
        <w:t>Enforcement-choice checklist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  <w:shd w:fill="FFF2CC"/>
        </w:rPr>
        <w:t>HOW TO USE THIS TEMPLATE — DELETE THIS OPENING GUIDE BEFORE SENDING, SERVING OR FILING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Compare enforcement routes only after confirming the judgment, payment default and available information about the debtor.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blHeader w:val="true"/>
          <w:cantSplit/>
        </w:trPr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Use this when</w:t>
            </w:r>
          </w:p>
        </w:tc>
        <w:tc>
          <w:tcPr>
            <w:tcW w:type="dxa" w:w="4592"/>
            <w:shd w:fill="36597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Do not use this when</w:t>
            </w:r>
          </w:p>
        </w:tc>
      </w:tr>
      <w:tr>
        <w:trPr>
          <w:cantSplit/>
        </w:trPr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A money judgment has not been paid by the due date and you need to choose a proportionate enforcement step.</w:t>
            </w:r>
          </w:p>
        </w:tc>
        <w:tc>
          <w:tcPr>
            <w:tcW w:type="dxa" w:w="4592"/>
            <w:tcMar>
              <w:top w:w="45" w:type="dxa"/>
              <w:start w:w="70" w:type="dxa"/>
              <w:bottom w:w="45" w:type="dxa"/>
              <w:end w:w="70" w:type="dxa"/>
            </w:tcMar>
          </w:tcPr>
          <w:p>
            <w:pPr>
              <w:spacing w:after="0" w:line="240" w:lineRule="auto"/>
            </w:pPr>
            <w:r>
              <w:rPr>
                <w:rFonts w:ascii="Calibri" w:hAnsi="Calibri"/>
                <w:sz w:val="18"/>
              </w:rPr>
              <w:t>Do not use it before the deadline, assume one method guarantees recovery, or incur a fee without checking recoverability and current guidance.</w:t>
            </w:r>
          </w:p>
        </w:tc>
      </w:tr>
    </w:tbl>
    <w:p>
      <w:pPr>
        <w:spacing w:before="0" w:after="40" w:line="240" w:lineRule="auto"/>
      </w:pP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Before you start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decision, order, account or other source record this document will summarise.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The amounts, payment records and dates needed to complete the body.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Complete it in this order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1. Read the latest directions, order or online-service instructions. They take priority over this template.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  <w:shd w:fill="FFF2CC"/>
        </w:rPr>
        <w:t>2. Save a working copy. Replace every yellow [ENTER …] placeholder and deal with every [DELETE IF NOT APPLICABLE …] instruction.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3. Complete the body from the source documents and use neutral, specific language.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4. Check every date, amount, name, exhibit and page reference against the source document; do not rely on memory.</w:t>
      </w:r>
    </w:p>
    <w:p>
      <w:pPr>
        <w:spacing w:before="0" w:after="40" w:line="240" w:lineRule="auto"/>
        <w:ind w:left="454" w:hanging="283"/>
      </w:pPr>
      <w:r>
        <w:rPr>
          <w:rFonts w:ascii="Calibri" w:hAnsi="Calibri"/>
          <w:color w:val="202522"/>
          <w:sz w:val="18"/>
        </w:rPr>
        <w:t>5. Delete this opening guide and every drafting note. Export or print the clean body only if that is what the recipient requires.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Miniature completed example</w:t>
      </w:r>
    </w:p>
    <w:p>
      <w:pPr>
        <w:spacing w:before="0" w:after="40" w:line="240" w:lineRule="auto"/>
        <w:ind w:left="283" w:right="283"/>
        <w:pBdr>
          <w:bottom w:val="single" w:sz="8" w:color="365975"/>
        </w:pBdr>
      </w:pPr>
      <w:r>
        <w:rPr>
          <w:rFonts w:ascii="Calibri" w:hAnsi="Calibri"/>
          <w:color w:val="202522"/>
          <w:sz w:val="18"/>
        </w:rPr>
        <w:t>Example completed entry: ‘Issue: [specific issue]. Evidence: document A12, page 34. Action: [specific next step and date].’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Final accuracy, privacy, filing and service check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Accuracy: names, property, dates, amounts and cross-references match the source records.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Privacy: remove signatures, bank details, private addresses and unrelated personal material unless they are required.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Clean copy: remove this guide, yellow highlighting, drafting notes and unused alternatives.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Source record: every entry can be traced to the sealed order, decision, receipt or other identified document.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Next step: check any deadline, balance or proposed action against current official instructions.</w:t>
      </w:r>
    </w:p>
    <w:p>
      <w:pPr>
        <w:pStyle w:val="Heading1"/>
        <w:spacing w:before="0" w:after="40" w:line="240" w:lineRule="auto"/>
      </w:pPr>
      <w:r>
        <w:rPr>
          <w:rFonts w:ascii="Calibri" w:hAnsi="Calibri"/>
          <w:color w:val="365975"/>
          <w:sz w:val="20"/>
        </w:rPr>
        <w:t>Official sources and review date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Enforce a judgment: https://www.gov.uk/make-court-claim-for-money/enforce-a-judgment</w:t>
      </w:r>
    </w:p>
    <w:p>
      <w:pPr>
        <w:pStyle w:val="ListBullet"/>
        <w:spacing w:before="0" w:after="40" w:line="240" w:lineRule="auto"/>
      </w:pPr>
      <w:r>
        <w:rPr>
          <w:rFonts w:ascii="Calibri" w:hAnsi="Calibri"/>
          <w:color w:val="202522"/>
          <w:sz w:val="18"/>
        </w:rPr>
        <w:t>CPR Part 70: https://www.justice.gov.uk/courts/procedure-rules/civil/rules/part70</w:t>
      </w:r>
    </w:p>
    <w:p>
      <w:pPr>
        <w:spacing w:before="0" w:after="40" w:line="240" w:lineRule="auto"/>
      </w:pPr>
      <w:r>
        <w:rPr>
          <w:rFonts w:ascii="Calibri" w:hAnsi="Calibri"/>
          <w:color w:val="202522"/>
          <w:sz w:val="18"/>
        </w:rPr>
        <w:t>Legal content reviewed: 27 August 2026. Recheck the sources and any case-specific directions before use.</w:t>
      </w:r>
    </w:p>
    <w:p>
      <w:pPr>
        <w:spacing w:before="0" w:after="40" w:line="240" w:lineRule="auto"/>
      </w:pPr>
      <w:r>
        <w:rPr>
          <w:rFonts w:ascii="Calibri" w:hAnsi="Calibri"/>
          <w:b/>
          <w:color w:val="202522"/>
          <w:sz w:val="18"/>
        </w:rPr>
        <w:t xml:space="preserve">Legal information, not advice. </w:t>
      </w:r>
      <w:r>
        <w:rPr>
          <w:rFonts w:ascii="Calibri" w:hAnsi="Calibri"/>
          <w:color w:val="202522"/>
          <w:sz w:val="18"/>
        </w:rPr>
        <w:t>This template cannot select the correct party, remedy, evidence or legal basis for your case.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Enforcement-choice checklist</w:t>
      </w:r>
    </w:p>
    <w:p>
      <w:pPr>
        <w:pStyle w:val="Heading1"/>
      </w:pPr>
      <w:r>
        <w:t>Preconditions</w:t>
      </w:r>
    </w:p>
    <w:p>
      <w:pPr>
        <w:pStyle w:val="ListBullet"/>
      </w:pPr>
      <w:r>
        <w:t>Sealed order and exact unpaid balance checked.</w:t>
      </w:r>
    </w:p>
    <w:p>
      <w:pPr>
        <w:pStyle w:val="ListBullet"/>
      </w:pPr>
      <w:r>
        <w:t>Payment deadline has passed and cleared receipts have been reconciled.</w:t>
      </w:r>
    </w:p>
    <w:p>
      <w:pPr>
        <w:pStyle w:val="ListBullet"/>
      </w:pPr>
      <w:r>
        <w:t>Any stay, set-aside, variation or appeal application checked.</w:t>
      </w:r>
    </w:p>
    <w:p>
      <w:pPr>
        <w:pStyle w:val="ListBullet"/>
      </w:pPr>
      <w:r>
        <w:t>Debtor’s exact legal name and current address checked.</w:t>
      </w:r>
    </w:p>
    <w:p>
      <w:pPr>
        <w:pStyle w:val="ListBullet"/>
      </w:pPr>
      <w:r>
        <w:t>Current fee and likely recoverability considered.</w:t>
      </w:r>
    </w:p>
    <w:p>
      <w:pPr>
        <w:pStyle w:val="Heading1"/>
      </w:pPr>
      <w:r>
        <w:t>Information available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1701"/>
        <w:gridCol w:w="4025"/>
      </w:tblGrid>
      <w:tr>
        <w:trPr>
          <w:tblHeader w:val="true"/>
          <w:cantSplit/>
        </w:trPr>
        <w:tc>
          <w:tcPr>
            <w:tcW w:type="dxa" w:w="3515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Information</w:t>
            </w:r>
          </w:p>
        </w:tc>
        <w:tc>
          <w:tcPr>
            <w:tcW w:type="dxa" w:w="170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Known?</w:t>
            </w:r>
          </w:p>
        </w:tc>
        <w:tc>
          <w:tcPr>
            <w:tcW w:type="dxa" w:w="4025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Evidence / date checked</w:t>
            </w:r>
          </w:p>
        </w:tc>
      </w:tr>
      <w:tr>
        <w:trPr>
          <w:cantSplit/>
        </w:trPr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Employment / wages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Bank or building-society account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Land/property ownership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Goods/business address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351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Ability to pay / need for information order</w:t>
            </w:r>
          </w:p>
        </w:tc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402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r>
        <w:br w:type="page"/>
      </w:r>
    </w:p>
    <w:p>
      <w:pPr>
        <w:pStyle w:val="Heading1"/>
      </w:pPr>
      <w:r>
        <w:t>Method comparison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2381"/>
        <w:gridCol w:w="2381"/>
        <w:gridCol w:w="1417"/>
        <w:gridCol w:w="1417"/>
      </w:tblGrid>
      <w:tr>
        <w:trPr>
          <w:tblHeader w:val="true"/>
          <w:cantSplit/>
        </w:trPr>
        <w:tc>
          <w:tcPr>
            <w:tcW w:type="dxa" w:w="187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Possible method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Why it may fit</w:t>
            </w:r>
          </w:p>
        </w:tc>
        <w:tc>
          <w:tcPr>
            <w:tcW w:type="dxa" w:w="2381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Limits / risk</w:t>
            </w:r>
          </w:p>
        </w:tc>
        <w:tc>
          <w:tcPr>
            <w:tcW w:type="dxa" w:w="141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Fee checked</w:t>
            </w:r>
          </w:p>
        </w:tc>
        <w:tc>
          <w:tcPr>
            <w:tcW w:type="dxa" w:w="141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Decision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Warrant / writ of control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Attachment of earnings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Third-party debt order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Charging order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  <w:tr>
        <w:trPr>
          <w:cantSplit/>
        </w:trPr>
        <w:tc>
          <w:tcPr>
            <w:tcW w:type="dxa" w:w="18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Order to obtain information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238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  <w:shd w:fill="FFF2CC"/>
              </w:rPr>
              <w:t>[ENTER]</w:t>
            </w:r>
          </w:p>
        </w:tc>
      </w:tr>
    </w:tbl>
    <w:p/>
    <w:p>
      <w:pPr>
        <w:pStyle w:val="Heading1"/>
      </w:pPr>
      <w:r>
        <w:t>Decision record</w:t>
      </w:r>
    </w:p>
    <w:p>
      <w:r>
        <w:rPr>
          <w:shd w:fill="FFF2CC"/>
        </w:rPr>
        <w:t>Chosen step: [ENTER]. Reason: [ENTER]. Form/service confirmed: [ENTER]. Fee: £[ENTER]. Review date: [ENTER].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Enforcement-choice checklist</dc:title>
  <dc:subject>Standalone practical template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