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40" w:lineRule="auto"/>
      </w:pPr>
      <w:r>
        <w:rPr>
          <w:rFonts w:ascii="Calibri" w:hAnsi="Calibri"/>
          <w:b/>
          <w:color w:val="365975"/>
          <w:sz w:val="18"/>
        </w:rPr>
        <w:t>SERVICE CHARGE GUIDE</w:t>
      </w:r>
    </w:p>
    <w:p>
      <w:pPr>
        <w:pStyle w:val="Title"/>
        <w:pBdr>
          <w:bottom w:val="single" w:sz="8" w:color="365975"/>
        </w:pBdr>
        <w:spacing w:before="0" w:after="40" w:line="240" w:lineRule="auto"/>
      </w:pPr>
      <w:r>
        <w:rPr>
          <w:rFonts w:ascii="Calibri" w:hAnsi="Calibri"/>
          <w:color w:val="365975"/>
          <w:sz w:val="36"/>
        </w:rPr>
        <w:t>County Court small-claim bundle pack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  <w:shd w:fill="FFF2CC"/>
        </w:rPr>
        <w:t>HOW TO USE THIS TEMPLATE — DELETE THIS OPENING GUIDE BEFORE SENDING, SERVING OR FILING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Create the cover, status record, index and assembly/service checks for the final hearing bundle.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92"/>
        <w:gridCol w:w="4592"/>
      </w:tblGrid>
      <w:tr>
        <w:trPr>
          <w:tblHeader w:val="true"/>
          <w:cantSplit/>
        </w:trPr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Use this when</w:t>
            </w:r>
          </w:p>
        </w:tc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Do not use this when</w:t>
            </w:r>
          </w:p>
        </w:tc>
      </w:tr>
      <w:tr>
        <w:trPr>
          <w:cantSplit/>
        </w:trPr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The County Court order requires a hearing bundle or the parties have been told who must prepare it.</w:t>
            </w:r>
          </w:p>
        </w:tc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Do not override the court order, duplicate every document on the case, or silently omit the other party’s relevant material.</w:t>
            </w:r>
          </w:p>
        </w:tc>
      </w:tr>
    </w:tbl>
    <w:p>
      <w:pPr>
        <w:spacing w:before="0" w:after="40" w:line="240" w:lineRule="auto"/>
      </w:pP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Before you start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latest County Court order or issuing-service instructions, including the deadline, format and service method.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claim number and exact legal names of the parties.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Every party’s proposed documents and the agreed issue list.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final PDF/page set or source files to paginate and index.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Complete it in this order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1. Read the latest directions, order or online-service instructions. They take priority over this template.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  <w:shd w:fill="FFF2CC"/>
        </w:rPr>
        <w:t>2. Save a working copy. Replace every yellow [ENTER …] placeholder and deal with every [DELETE IF NOT APPLICABLE …] instruction.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3. Agree the contents and order where required, recording any unresolved disagreement exactly as directed.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4. Paginate only after the order is stable, then check every index and witness-statement reference.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5. Check every date, amount, name, exhibit and page reference against the source document; do not rely on memory.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6. Delete this opening guide and every drafting note. Export or print the clean body only if that is what the recipient requires.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Miniature completed example</w:t>
      </w:r>
    </w:p>
    <w:p>
      <w:pPr>
        <w:spacing w:before="0" w:after="40" w:line="240" w:lineRule="auto"/>
        <w:ind w:left="283" w:right="283"/>
        <w:pBdr>
          <w:bottom w:val="single" w:sz="8" w:color="365975"/>
        </w:pBdr>
      </w:pPr>
      <w:r>
        <w:rPr>
          <w:rFonts w:ascii="Calibri" w:hAnsi="Calibri"/>
          <w:color w:val="202522"/>
          <w:sz w:val="18"/>
        </w:rPr>
        <w:t>Example index row: ‘D3 — Witness statement of Alex Morgan — 12 May 2026 — Applicant — pages 74–82.’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Final accuracy, privacy, filing and service check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Accuracy: names, property, dates, amounts and cross-references match the source records.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Privacy: remove signatures, bank details, private addresses and unrelated personal material unless they are required.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Clean copy: remove this guide, yellow highlighting, drafting notes and unused alternatives.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Contents: the final index follows the directions or order and includes every permitted document from every party.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Pagination: the cover, index, dividers and documents use one continuous sequence and every reference has been checked.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Service: send the identical final file to every required recipient by the permitted method and retain proof.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Official sources and review date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CPR Part 27 and Practice Direction 27A: https://www.justice.gov.uk/courts/procedure-rules/civil/rules/part27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Legal content reviewed: 27 August 2026. Recheck the sources and any case-specific directions before use.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</w:rPr>
        <w:t xml:space="preserve">Legal information, not advice. </w:t>
      </w:r>
      <w:r>
        <w:rPr>
          <w:rFonts w:ascii="Calibri" w:hAnsi="Calibri"/>
          <w:color w:val="202522"/>
          <w:sz w:val="18"/>
        </w:rPr>
        <w:t>This template cannot select the correct party, remedy, evidence or legal basis for your case.</w:t>
      </w:r>
    </w:p>
    <w:p>
      <w:r>
        <w:rPr>
          <w:rFonts w:ascii="Calibri" w:hAnsi="Calibri"/>
          <w:color w:val="202522"/>
        </w:rPr>
        <w:br w:type="page"/>
      </w:r>
    </w:p>
    <w:p>
      <w:pPr>
        <w:jc w:val="center"/>
      </w:pPr>
      <w:r>
        <w:rPr>
          <w:b/>
          <w:sz w:val="24"/>
        </w:rPr>
        <w:t>IN THE COUNTY COURT AT [ENTER HEARING CENTRE]</w:t>
        <w:br/>
        <w:t>Claim No. [ENTER]</w:t>
        <w:br/>
        <w:t>[ENTER CLAIMANT] v [ENTER DEFENDANT]</w:t>
      </w:r>
    </w:p>
    <w:p>
      <w:pPr>
        <w:pStyle w:val="Title"/>
      </w:pPr>
      <w:r>
        <w:t>HEARING BUNDLE — FRONT MATTER AND ASSEMBLY RECORD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721"/>
        <w:gridCol w:w="2268"/>
        <w:gridCol w:w="2154"/>
      </w:tblGrid>
      <w:tr>
        <w:trPr>
          <w:tblHeader w:val="true"/>
          <w:cantSplit/>
        </w:trPr>
        <w:tc>
          <w:tcPr>
            <w:tcW w:type="dxa" w:w="226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Case reference</w:t>
            </w:r>
          </w:p>
        </w:tc>
        <w:tc>
          <w:tcPr>
            <w:tcW w:type="dxa" w:w="272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Property / claim</w:t>
            </w:r>
          </w:p>
        </w:tc>
        <w:tc>
          <w:tcPr>
            <w:tcW w:type="dxa" w:w="226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Hearing</w:t>
            </w:r>
          </w:p>
        </w:tc>
        <w:tc>
          <w:tcPr>
            <w:tcW w:type="dxa" w:w="215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Prepared by</w:t>
            </w:r>
          </w:p>
        </w:tc>
      </w:tr>
      <w:tr>
        <w:trPr>
          <w:cantSplit/>
        </w:trPr>
        <w:tc>
          <w:tcPr>
            <w:tcW w:type="dxa" w:w="226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72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26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DATE / FORMAT]</w:t>
            </w:r>
          </w:p>
        </w:tc>
        <w:tc>
          <w:tcPr>
            <w:tcW w:type="dxa" w:w="215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 PARTY]</w:t>
            </w:r>
          </w:p>
        </w:tc>
      </w:tr>
    </w:tbl>
    <w:p/>
    <w:p>
      <w:pPr>
        <w:pStyle w:val="Heading1"/>
      </w:pPr>
      <w:r>
        <w:t>Bundle status</w:t>
      </w:r>
    </w:p>
    <w:p>
      <w:pPr>
        <w:pStyle w:val="ListBullet"/>
      </w:pPr>
      <w:r>
        <w:rPr>
          <w:shd w:fill="FFF2CC"/>
        </w:rPr>
        <w:t>Directions/order dated: [ENTER].</w:t>
      </w:r>
    </w:p>
    <w:p>
      <w:pPr>
        <w:pStyle w:val="ListBullet"/>
      </w:pPr>
      <w:r>
        <w:rPr>
          <w:shd w:fill="FFF2CC"/>
        </w:rPr>
        <w:t>Agreed with the other party: [ENTER YES / NO / PARTLY].</w:t>
      </w:r>
    </w:p>
    <w:p>
      <w:pPr>
        <w:pStyle w:val="ListBullet"/>
      </w:pPr>
      <w:r>
        <w:rPr>
          <w:shd w:fill="FFF2CC"/>
        </w:rPr>
        <w:t>If not agreed, disputed pages marked: [ENTER A / R OR FORMAT DIRECTED].</w:t>
      </w:r>
    </w:p>
    <w:p>
      <w:pPr>
        <w:pStyle w:val="ListBullet"/>
      </w:pPr>
      <w:r>
        <w:rPr>
          <w:shd w:fill="FFF2CC"/>
        </w:rPr>
        <w:t>Final file name and page range: [ENTER].</w:t>
      </w:r>
    </w:p>
    <w:p>
      <w:pPr>
        <w:pStyle w:val="Heading1"/>
      </w:pPr>
      <w:r>
        <w:t>Index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3402"/>
        <w:gridCol w:w="1474"/>
        <w:gridCol w:w="1247"/>
        <w:gridCol w:w="1134"/>
        <w:gridCol w:w="1134"/>
      </w:tblGrid>
      <w:tr>
        <w:trPr>
          <w:tblHeader w:val="true"/>
          <w:cantSplit/>
        </w:trPr>
        <w:tc>
          <w:tcPr>
            <w:tcW w:type="dxa" w:w="113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Section</w:t>
            </w:r>
          </w:p>
        </w:tc>
        <w:tc>
          <w:tcPr>
            <w:tcW w:type="dxa" w:w="3402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Document</w:t>
            </w:r>
          </w:p>
        </w:tc>
        <w:tc>
          <w:tcPr>
            <w:tcW w:type="dxa" w:w="147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Date</w:t>
            </w:r>
          </w:p>
        </w:tc>
        <w:tc>
          <w:tcPr>
            <w:tcW w:type="dxa" w:w="1247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Party</w:t>
            </w:r>
          </w:p>
        </w:tc>
        <w:tc>
          <w:tcPr>
            <w:tcW w:type="dxa" w:w="113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Start page</w:t>
            </w:r>
          </w:p>
        </w:tc>
        <w:tc>
          <w:tcPr>
            <w:tcW w:type="dxa" w:w="113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End page</w:t>
            </w:r>
          </w:p>
        </w:tc>
      </w:tr>
      <w:tr>
        <w:trPr>
          <w:cantSplit/>
        </w:trPr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A</w:t>
            </w:r>
          </w:p>
        </w:tc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Directions / orders</w:t>
            </w:r>
          </w:p>
        </w:tc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24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B</w:t>
            </w:r>
          </w:p>
        </w:tc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Application / statements of case</w:t>
            </w:r>
          </w:p>
        </w:tc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24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C</w:t>
            </w:r>
          </w:p>
        </w:tc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Lease and property documents</w:t>
            </w:r>
          </w:p>
        </w:tc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24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D</w:t>
            </w:r>
          </w:p>
        </w:tc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Witness statements and exhibits</w:t>
            </w:r>
          </w:p>
        </w:tc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24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E</w:t>
            </w:r>
          </w:p>
        </w:tc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Accounts, demands and invoices</w:t>
            </w:r>
          </w:p>
        </w:tc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24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F</w:t>
            </w:r>
          </w:p>
        </w:tc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Correspondence and photographs</w:t>
            </w:r>
          </w:p>
        </w:tc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24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G</w:t>
            </w:r>
          </w:p>
        </w:tc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Authorities / other material permitted</w:t>
            </w:r>
          </w:p>
        </w:tc>
        <w:tc>
          <w:tcPr>
            <w:tcW w:type="dxa" w:w="147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24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13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</w:tbl>
    <w:p/>
    <w:p>
      <w:r>
        <w:br w:type="page"/>
      </w:r>
    </w:p>
    <w:p>
      <w:pPr>
        <w:pStyle w:val="Heading1"/>
      </w:pPr>
      <w:r>
        <w:t>Assembly record</w:t>
      </w:r>
    </w:p>
    <w:p>
      <w:pPr>
        <w:pStyle w:val="ListBullet"/>
      </w:pPr>
      <w:r>
        <w:t>One continuous page-number sequence applied after the bundle order was fixed.</w:t>
      </w:r>
    </w:p>
    <w:p>
      <w:pPr>
        <w:pStyle w:val="ListBullet"/>
      </w:pPr>
      <w:r>
        <w:t>Index page references checked against the final PDF/page set.</w:t>
      </w:r>
    </w:p>
    <w:p>
      <w:pPr>
        <w:pStyle w:val="ListBullet"/>
      </w:pPr>
      <w:r>
        <w:t>Searchable text/OCR used where possible; pages upright and readable.</w:t>
      </w:r>
    </w:p>
    <w:p>
      <w:pPr>
        <w:pStyle w:val="ListBullet"/>
      </w:pPr>
      <w:r>
        <w:t>Blank, duplicate, privileged, settlement and unnecessary personal material removed.</w:t>
      </w:r>
    </w:p>
    <w:p>
      <w:pPr>
        <w:pStyle w:val="ListBullet"/>
      </w:pPr>
      <w:r>
        <w:t>Bookmarks/dividers and file-size limits follow the directions/order.</w:t>
      </w:r>
    </w:p>
    <w:p>
      <w:pPr>
        <w:pStyle w:val="ListBullet"/>
      </w:pPr>
      <w:r>
        <w:t>Every party and the tribunal/court received the identical version by the deadline; proof retained.</w:t>
      </w:r>
    </w:p>
    <w:p>
      <w:pPr>
        <w:pStyle w:val="Heading1"/>
      </w:pPr>
      <w:r>
        <w:t>Late change log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1"/>
        <w:gridCol w:w="1928"/>
        <w:gridCol w:w="1984"/>
        <w:gridCol w:w="1984"/>
        <w:gridCol w:w="2041"/>
      </w:tblGrid>
      <w:tr>
        <w:trPr>
          <w:tblHeader w:val="true"/>
          <w:cantSplit/>
        </w:trPr>
        <w:tc>
          <w:tcPr>
            <w:tcW w:type="dxa" w:w="153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Date</w:t>
            </w:r>
          </w:p>
        </w:tc>
        <w:tc>
          <w:tcPr>
            <w:tcW w:type="dxa" w:w="192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Change requested by</w:t>
            </w:r>
          </w:p>
        </w:tc>
        <w:tc>
          <w:tcPr>
            <w:tcW w:type="dxa" w:w="198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Document / pages</w:t>
            </w:r>
          </w:p>
        </w:tc>
        <w:tc>
          <w:tcPr>
            <w:tcW w:type="dxa" w:w="1984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Reason</w:t>
            </w:r>
          </w:p>
        </w:tc>
        <w:tc>
          <w:tcPr>
            <w:tcW w:type="dxa" w:w="204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Action / service</w:t>
            </w:r>
          </w:p>
        </w:tc>
      </w:tr>
      <w:tr>
        <w:trPr>
          <w:cantSplit/>
        </w:trPr>
        <w:tc>
          <w:tcPr>
            <w:tcW w:type="dxa" w:w="153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92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98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98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04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247" w:right="1247" w:bottom="1247" w:left="198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County Court small-claim bundle pack</dc:title>
  <dc:subject>Standalone practical template for residential leaseholders in England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