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40" w:lineRule="auto"/>
      </w:pPr>
      <w:r>
        <w:rPr>
          <w:rFonts w:ascii="Calibri" w:hAnsi="Calibri"/>
          <w:b/>
          <w:color w:val="365975"/>
          <w:sz w:val="18"/>
        </w:rPr>
        <w:t>SERVICE CHARGE GUIDE</w:t>
      </w:r>
    </w:p>
    <w:p>
      <w:pPr>
        <w:pStyle w:val="Title"/>
        <w:pBdr>
          <w:bottom w:val="single" w:sz="8" w:color="365975"/>
        </w:pBdr>
        <w:spacing w:before="0" w:after="40" w:line="240" w:lineRule="auto"/>
      </w:pPr>
      <w:r>
        <w:rPr>
          <w:rFonts w:ascii="Calibri" w:hAnsi="Calibri"/>
          <w:color w:val="365975"/>
          <w:sz w:val="36"/>
        </w:rPr>
        <w:t>FTT case-management / Order 1 request</w:t>
      </w:r>
    </w:p>
    <w:p>
      <w:pPr>
        <w:spacing w:before="0" w:after="40" w:line="240" w:lineRule="auto"/>
      </w:pPr>
      <w:r>
        <w:rPr>
          <w:rFonts w:ascii="Calibri" w:hAnsi="Calibri"/>
          <w:b/>
          <w:color w:val="202522"/>
          <w:sz w:val="18"/>
          <w:shd w:fill="FFF2CC"/>
        </w:rPr>
        <w:t>HOW TO USE THIS TEMPLATE — DELETE THIS OPENING GUIDE BEFORE SENDING, SERVING OR FILING</w:t>
      </w:r>
    </w:p>
    <w:p>
      <w:pPr>
        <w:spacing w:before="0" w:after="40" w:line="240" w:lineRule="auto"/>
      </w:pPr>
      <w:r>
        <w:rPr>
          <w:rFonts w:ascii="Calibri" w:hAnsi="Calibri"/>
          <w:color w:val="202522"/>
          <w:sz w:val="18"/>
        </w:rPr>
        <w:t>Make a short, neutral request for a proportionate direction after a party has not complied with an existing direction.</w:t>
      </w:r>
    </w:p>
    <w:tbl>
      <w:tblPr>
        <w:tblStyle w:val="TableGrid"/>
        <w:tblW w:type="auto" w:w="0"/>
        <w:jc w:val="center"/>
        <w:tblLayout w:type="fixed"/>
        <w:tblLook w:firstColumn="1" w:firstRow="1" w:lastColumn="0" w:lastRow="0" w:noHBand="0" w:noVBand="1" w:val="04A0"/>
      </w:tblPr>
      <w:tblGrid>
        <w:gridCol w:w="4592"/>
        <w:gridCol w:w="4592"/>
      </w:tblGrid>
      <w:tr>
        <w:trPr>
          <w:tblHeader w:val="true"/>
          <w:cantSplit/>
        </w:trPr>
        <w:tc>
          <w:tcPr>
            <w:tcW w:type="dxa" w:w="4592"/>
            <w:shd w:fill="365975"/>
            <w:tcMar>
              <w:top w:w="45" w:type="dxa"/>
              <w:start w:w="70" w:type="dxa"/>
              <w:bottom w:w="45" w:type="dxa"/>
              <w:end w:w="70" w:type="dxa"/>
            </w:tcMar>
            <w:vAlign w:val="center"/>
          </w:tcPr>
          <w:p>
            <w:pPr>
              <w:spacing w:after="0" w:line="240" w:lineRule="auto"/>
            </w:pPr>
            <w:r>
              <w:rPr>
                <w:rFonts w:ascii="Calibri" w:hAnsi="Calibri"/>
                <w:b/>
                <w:color w:val="FFFFFF"/>
                <w:sz w:val="18"/>
              </w:rPr>
              <w:t>Use this when</w:t>
            </w:r>
          </w:p>
        </w:tc>
        <w:tc>
          <w:tcPr>
            <w:tcW w:type="dxa" w:w="4592"/>
            <w:shd w:fill="365975"/>
            <w:tcMar>
              <w:top w:w="45" w:type="dxa"/>
              <w:start w:w="70" w:type="dxa"/>
              <w:bottom w:w="45" w:type="dxa"/>
              <w:end w:w="70" w:type="dxa"/>
            </w:tcMar>
            <w:vAlign w:val="center"/>
          </w:tcPr>
          <w:p>
            <w:pPr>
              <w:spacing w:after="0" w:line="240" w:lineRule="auto"/>
            </w:pPr>
            <w:r>
              <w:rPr>
                <w:rFonts w:ascii="Calibri" w:hAnsi="Calibri"/>
                <w:b/>
                <w:color w:val="FFFFFF"/>
                <w:sz w:val="18"/>
              </w:rPr>
              <w:t>Do not use this when</w:t>
            </w:r>
          </w:p>
        </w:tc>
      </w:tr>
      <w:tr>
        <w:trPr>
          <w:cantSplit/>
        </w:trPr>
        <w:tc>
          <w:tcPr>
            <w:tcW w:type="dxa" w:w="4592"/>
            <w:tcMar>
              <w:top w:w="45" w:type="dxa"/>
              <w:start w:w="70" w:type="dxa"/>
              <w:bottom w:w="45" w:type="dxa"/>
              <w:end w:w="70" w:type="dxa"/>
            </w:tcMar>
          </w:tcPr>
          <w:p>
            <w:pPr>
              <w:spacing w:after="0" w:line="240" w:lineRule="auto"/>
            </w:pPr>
            <w:r>
              <w:rPr>
                <w:rFonts w:ascii="Calibri" w:hAnsi="Calibri"/>
                <w:sz w:val="18"/>
              </w:rPr>
              <w:t>A direction has a clear obligation and deadline, there is evidence of default, and you can explain the effect on fair case preparation.</w:t>
            </w:r>
          </w:p>
        </w:tc>
        <w:tc>
          <w:tcPr>
            <w:tcW w:type="dxa" w:w="4592"/>
            <w:tcMar>
              <w:top w:w="45" w:type="dxa"/>
              <w:start w:w="70" w:type="dxa"/>
              <w:bottom w:w="45" w:type="dxa"/>
              <w:end w:w="70" w:type="dxa"/>
            </w:tcMar>
          </w:tcPr>
          <w:p>
            <w:pPr>
              <w:spacing w:after="0" w:line="240" w:lineRule="auto"/>
            </w:pPr>
            <w:r>
              <w:rPr>
                <w:rFonts w:ascii="Calibri" w:hAnsi="Calibri"/>
                <w:sz w:val="18"/>
              </w:rPr>
              <w:t>Do not use it as punishment, assume debarment will follow, or omit service on the other parties. Follow any specific application method in the directions.</w:t>
            </w:r>
          </w:p>
        </w:tc>
      </w:tr>
    </w:tbl>
    <w:p>
      <w:pPr>
        <w:spacing w:before="0" w:after="40" w:line="240" w:lineRule="auto"/>
      </w:pPr>
    </w:p>
    <w:p>
      <w:pPr>
        <w:pStyle w:val="Heading1"/>
        <w:spacing w:before="0" w:after="40" w:line="240" w:lineRule="auto"/>
      </w:pPr>
      <w:r>
        <w:rPr>
          <w:rFonts w:ascii="Calibri" w:hAnsi="Calibri"/>
          <w:color w:val="365975"/>
          <w:sz w:val="20"/>
        </w:rPr>
        <w:t>Before you start</w:t>
      </w:r>
    </w:p>
    <w:p>
      <w:pPr>
        <w:pStyle w:val="ListBullet"/>
        <w:spacing w:before="0" w:after="40" w:line="240" w:lineRule="auto"/>
      </w:pPr>
      <w:r>
        <w:rPr>
          <w:rFonts w:ascii="Calibri" w:hAnsi="Calibri"/>
          <w:color w:val="202522"/>
          <w:sz w:val="18"/>
        </w:rPr>
        <w:t>The latest FTT directions or order, including the paragraph, deadline, format and recipients for this task.</w:t>
      </w:r>
    </w:p>
    <w:p>
      <w:pPr>
        <w:pStyle w:val="ListBullet"/>
        <w:spacing w:before="0" w:after="40" w:line="240" w:lineRule="auto"/>
      </w:pPr>
      <w:r>
        <w:rPr>
          <w:rFonts w:ascii="Calibri" w:hAnsi="Calibri"/>
          <w:color w:val="202522"/>
          <w:sz w:val="18"/>
        </w:rPr>
        <w:t>The case reference and the correct names of every party.</w:t>
      </w:r>
    </w:p>
    <w:p>
      <w:pPr>
        <w:pStyle w:val="ListBullet"/>
        <w:spacing w:before="0" w:after="40" w:line="240" w:lineRule="auto"/>
      </w:pPr>
      <w:r>
        <w:rPr>
          <w:rFonts w:ascii="Calibri" w:hAnsi="Calibri"/>
          <w:color w:val="202522"/>
          <w:sz w:val="18"/>
        </w:rPr>
        <w:t>Proof of non-compliance, reminders and the practical effect on preparation.</w:t>
      </w:r>
    </w:p>
    <w:p>
      <w:pPr>
        <w:pStyle w:val="Heading1"/>
        <w:spacing w:before="0" w:after="40" w:line="240" w:lineRule="auto"/>
      </w:pPr>
      <w:r>
        <w:rPr>
          <w:rFonts w:ascii="Calibri" w:hAnsi="Calibri"/>
          <w:color w:val="365975"/>
          <w:sz w:val="20"/>
        </w:rPr>
        <w:t>Complete it in this order</w:t>
      </w:r>
    </w:p>
    <w:p>
      <w:pPr>
        <w:spacing w:before="0" w:after="40" w:line="240" w:lineRule="auto"/>
        <w:ind w:left="454" w:hanging="283"/>
      </w:pPr>
      <w:r>
        <w:rPr>
          <w:rFonts w:ascii="Calibri" w:hAnsi="Calibri"/>
          <w:color w:val="202522"/>
          <w:sz w:val="18"/>
        </w:rPr>
        <w:t>1. Read the latest directions, order or online-service instructions. They take priority over this template.</w:t>
      </w:r>
    </w:p>
    <w:p>
      <w:pPr>
        <w:spacing w:before="0" w:after="40" w:line="240" w:lineRule="auto"/>
        <w:ind w:left="454" w:hanging="283"/>
      </w:pPr>
      <w:r>
        <w:rPr>
          <w:rFonts w:ascii="Calibri" w:hAnsi="Calibri"/>
          <w:color w:val="202522"/>
          <w:sz w:val="18"/>
          <w:shd w:fill="FFF2CC"/>
        </w:rPr>
        <w:t>2. Save a working copy. Replace every yellow [ENTER …] placeholder and deal with every [DELETE IF NOT APPLICABLE …] instruction.</w:t>
      </w:r>
    </w:p>
    <w:p>
      <w:pPr>
        <w:spacing w:before="0" w:after="40" w:line="240" w:lineRule="auto"/>
        <w:ind w:left="454" w:hanging="283"/>
      </w:pPr>
      <w:r>
        <w:rPr>
          <w:rFonts w:ascii="Calibri" w:hAnsi="Calibri"/>
          <w:color w:val="202522"/>
          <w:sz w:val="18"/>
        </w:rPr>
        <w:t>3. Quote the direction accurately and separate the fact of default from its practical effect.</w:t>
      </w:r>
    </w:p>
    <w:p>
      <w:pPr>
        <w:spacing w:before="0" w:after="40" w:line="240" w:lineRule="auto"/>
        <w:ind w:left="454" w:hanging="283"/>
      </w:pPr>
      <w:r>
        <w:rPr>
          <w:rFonts w:ascii="Calibri" w:hAnsi="Calibri"/>
          <w:color w:val="202522"/>
          <w:sz w:val="18"/>
        </w:rPr>
        <w:t>4. Ask first for the least severe effective order and include an alternative.</w:t>
      </w:r>
    </w:p>
    <w:p>
      <w:pPr>
        <w:spacing w:before="0" w:after="40" w:line="240" w:lineRule="auto"/>
        <w:ind w:left="454" w:hanging="283"/>
      </w:pPr>
      <w:r>
        <w:rPr>
          <w:rFonts w:ascii="Calibri" w:hAnsi="Calibri"/>
          <w:color w:val="202522"/>
          <w:sz w:val="18"/>
        </w:rPr>
        <w:t>5. Check every date, amount, name, exhibit and page reference against the source document; do not rely on memory.</w:t>
      </w:r>
    </w:p>
    <w:p>
      <w:pPr>
        <w:spacing w:before="0" w:after="40" w:line="240" w:lineRule="auto"/>
        <w:ind w:left="454" w:hanging="283"/>
      </w:pPr>
      <w:r>
        <w:rPr>
          <w:rFonts w:ascii="Calibri" w:hAnsi="Calibri"/>
          <w:color w:val="202522"/>
          <w:sz w:val="18"/>
        </w:rPr>
        <w:t>6. Delete this opening guide and every drafting note. Export or print the clean body only if that is what the recipient requires.</w:t>
      </w:r>
    </w:p>
    <w:p>
      <w:pPr>
        <w:pStyle w:val="Heading1"/>
        <w:spacing w:before="0" w:after="40" w:line="240" w:lineRule="auto"/>
      </w:pPr>
      <w:r>
        <w:rPr>
          <w:rFonts w:ascii="Calibri" w:hAnsi="Calibri"/>
          <w:color w:val="365975"/>
          <w:sz w:val="20"/>
        </w:rPr>
        <w:t>Miniature completed example</w:t>
      </w:r>
    </w:p>
    <w:p>
      <w:pPr>
        <w:spacing w:before="0" w:after="40" w:line="240" w:lineRule="auto"/>
        <w:ind w:left="283" w:right="283"/>
        <w:pBdr>
          <w:bottom w:val="single" w:sz="8" w:color="365975"/>
        </w:pBdr>
      </w:pPr>
      <w:r>
        <w:rPr>
          <w:rFonts w:ascii="Calibri" w:hAnsi="Calibri"/>
          <w:color w:val="202522"/>
          <w:sz w:val="18"/>
        </w:rPr>
        <w:t>Example: ‘Paragraph 6 required the respondent’s statement by 14 June. None has been served. The applicant asks for service within seven days, failing which the respondent may be barred from relying on that evidence.’</w:t>
      </w:r>
    </w:p>
    <w:p>
      <w:pPr>
        <w:pStyle w:val="Heading1"/>
        <w:spacing w:before="0" w:after="40" w:line="240" w:lineRule="auto"/>
      </w:pPr>
      <w:r>
        <w:rPr>
          <w:rFonts w:ascii="Calibri" w:hAnsi="Calibri"/>
          <w:color w:val="365975"/>
          <w:sz w:val="20"/>
        </w:rPr>
        <w:t>Final accuracy, privacy, filing and service check</w:t>
      </w:r>
    </w:p>
    <w:p>
      <w:pPr>
        <w:pStyle w:val="ListBullet"/>
        <w:spacing w:before="0" w:after="40" w:line="240" w:lineRule="auto"/>
      </w:pPr>
      <w:r>
        <w:rPr>
          <w:rFonts w:ascii="Calibri" w:hAnsi="Calibri"/>
          <w:color w:val="202522"/>
          <w:sz w:val="18"/>
        </w:rPr>
        <w:t>Accuracy: names, property, dates, amounts and cross-references match the source records.</w:t>
      </w:r>
    </w:p>
    <w:p>
      <w:pPr>
        <w:pStyle w:val="ListBullet"/>
        <w:spacing w:before="0" w:after="40" w:line="240" w:lineRule="auto"/>
      </w:pPr>
      <w:r>
        <w:rPr>
          <w:rFonts w:ascii="Calibri" w:hAnsi="Calibri"/>
          <w:color w:val="202522"/>
          <w:sz w:val="18"/>
        </w:rPr>
        <w:t>Privacy: remove signatures, bank details, private addresses and unrelated personal material unless they are required.</w:t>
      </w:r>
    </w:p>
    <w:p>
      <w:pPr>
        <w:pStyle w:val="ListBullet"/>
        <w:spacing w:before="0" w:after="40" w:line="240" w:lineRule="auto"/>
      </w:pPr>
      <w:r>
        <w:rPr>
          <w:rFonts w:ascii="Calibri" w:hAnsi="Calibri"/>
          <w:color w:val="202522"/>
          <w:sz w:val="18"/>
        </w:rPr>
        <w:t>Clean copy: remove this guide, yellow highlighting, drafting notes and unused alternatives.</w:t>
      </w:r>
    </w:p>
    <w:p>
      <w:pPr>
        <w:pStyle w:val="ListBullet"/>
        <w:spacing w:before="0" w:after="40" w:line="240" w:lineRule="auto"/>
      </w:pPr>
      <w:r>
        <w:rPr>
          <w:rFonts w:ascii="Calibri" w:hAnsi="Calibri"/>
          <w:color w:val="202522"/>
          <w:sz w:val="18"/>
        </w:rPr>
        <w:t>Directions: the document follows the current FTT directions, including its deadline, format and page limit.</w:t>
      </w:r>
    </w:p>
    <w:p>
      <w:pPr>
        <w:pStyle w:val="ListBullet"/>
        <w:spacing w:before="0" w:after="40" w:line="240" w:lineRule="auto"/>
      </w:pPr>
      <w:r>
        <w:rPr>
          <w:rFonts w:ascii="Calibri" w:hAnsi="Calibri"/>
          <w:color w:val="202522"/>
          <w:sz w:val="18"/>
        </w:rPr>
        <w:t>Orders sought: each request is stated separately and does not overstate what the Tribunal can or has already ordered.</w:t>
      </w:r>
    </w:p>
    <w:p>
      <w:pPr>
        <w:pStyle w:val="ListBullet"/>
        <w:spacing w:before="0" w:after="40" w:line="240" w:lineRule="auto"/>
      </w:pPr>
      <w:r>
        <w:rPr>
          <w:rFonts w:ascii="Calibri" w:hAnsi="Calibri"/>
          <w:color w:val="202522"/>
          <w:sz w:val="18"/>
        </w:rPr>
        <w:t>Service: send the same final version to every required party and the Tribunal, retaining proof.</w:t>
      </w:r>
    </w:p>
    <w:p>
      <w:pPr>
        <w:pStyle w:val="Heading1"/>
        <w:spacing w:before="0" w:after="40" w:line="240" w:lineRule="auto"/>
      </w:pPr>
      <w:r>
        <w:rPr>
          <w:rFonts w:ascii="Calibri" w:hAnsi="Calibri"/>
          <w:color w:val="365975"/>
          <w:sz w:val="20"/>
        </w:rPr>
        <w:t>Official sources and review date</w:t>
      </w:r>
    </w:p>
    <w:p>
      <w:pPr>
        <w:pStyle w:val="ListBullet"/>
        <w:spacing w:before="0" w:after="40" w:line="240" w:lineRule="auto"/>
      </w:pPr>
      <w:r>
        <w:rPr>
          <w:rFonts w:ascii="Calibri" w:hAnsi="Calibri"/>
          <w:color w:val="202522"/>
          <w:sz w:val="18"/>
        </w:rPr>
        <w:t>T541 case-preparation guidance: https://www.gov.uk/government/publications/service-and-administration-charges-and-management-matters-t541/service-charges-administration-charges-and-other-management-matters-in-the-property-tribunal</w:t>
      </w:r>
    </w:p>
    <w:p>
      <w:pPr>
        <w:pStyle w:val="ListBullet"/>
        <w:spacing w:before="0" w:after="40" w:line="240" w:lineRule="auto"/>
      </w:pPr>
      <w:r>
        <w:rPr>
          <w:rFonts w:ascii="Calibri" w:hAnsi="Calibri"/>
          <w:color w:val="202522"/>
          <w:sz w:val="18"/>
        </w:rPr>
        <w:t>Tribunal Procedure (First-tier Tribunal) (Property Chamber) Rules 2013: https://www.legislation.gov.uk/uksi/2013/1169/contents</w:t>
      </w:r>
    </w:p>
    <w:p>
      <w:pPr>
        <w:pStyle w:val="ListBullet"/>
        <w:spacing w:before="0" w:after="40" w:line="240" w:lineRule="auto"/>
      </w:pPr>
      <w:r>
        <w:rPr>
          <w:rFonts w:ascii="Calibri" w:hAnsi="Calibri"/>
          <w:color w:val="202522"/>
          <w:sz w:val="18"/>
        </w:rPr>
        <w:t>FTT Rule 9: https://www.legislation.gov.uk/uksi/2013/1169/rule/9</w:t>
      </w:r>
    </w:p>
    <w:p>
      <w:pPr>
        <w:spacing w:before="0" w:after="40" w:line="240" w:lineRule="auto"/>
      </w:pPr>
      <w:r>
        <w:rPr>
          <w:rFonts w:ascii="Calibri" w:hAnsi="Calibri"/>
          <w:color w:val="202522"/>
          <w:sz w:val="18"/>
        </w:rPr>
        <w:t>Legal content reviewed: 27 August 2026. Recheck the sources and any case-specific directions before use.</w:t>
      </w:r>
    </w:p>
    <w:p>
      <w:pPr>
        <w:spacing w:before="0" w:after="40" w:line="240" w:lineRule="auto"/>
      </w:pPr>
      <w:r>
        <w:rPr>
          <w:rFonts w:ascii="Calibri" w:hAnsi="Calibri"/>
          <w:b/>
          <w:color w:val="202522"/>
          <w:sz w:val="18"/>
        </w:rPr>
        <w:t xml:space="preserve">Legal information, not advice. </w:t>
      </w:r>
      <w:r>
        <w:rPr>
          <w:rFonts w:ascii="Calibri" w:hAnsi="Calibri"/>
          <w:color w:val="202522"/>
          <w:sz w:val="18"/>
        </w:rPr>
        <w:t>This template cannot select the correct party, remedy, evidence or legal basis for your case.</w:t>
      </w:r>
    </w:p>
    <w:p>
      <w:r>
        <w:rPr>
          <w:rFonts w:ascii="Calibri" w:hAnsi="Calibri"/>
          <w:color w:val="202522"/>
        </w:rPr>
        <w:br w:type="page"/>
      </w:r>
    </w:p>
    <w:p>
      <w:pPr>
        <w:jc w:val="center"/>
      </w:pPr>
      <w:r>
        <w:rPr>
          <w:b/>
          <w:sz w:val="24"/>
        </w:rPr>
        <w:t>FIRST-TIER TRIBUNAL (PROPERTY CHAMBER)</w:t>
        <w:br/>
        <w:t>RESIDENTIAL PROPERTY</w:t>
      </w:r>
    </w:p>
    <w:p>
      <w:pPr>
        <w:pStyle w:val="Title"/>
      </w:pPr>
      <w:r>
        <w:t>CASE-MANAGEMENT REQUEST</w:t>
      </w:r>
    </w:p>
    <w:tbl>
      <w:tblPr>
        <w:tblStyle w:val="TableGrid"/>
        <w:tblW w:type="auto" w:w="0"/>
        <w:jc w:val="center"/>
        <w:tblLayout w:type="fixed"/>
        <w:tblLook w:firstColumn="1" w:firstRow="1" w:lastColumn="0" w:lastRow="0" w:noHBand="0" w:noVBand="1" w:val="04A0"/>
      </w:tblPr>
      <w:tblGrid>
        <w:gridCol w:w="2098"/>
        <w:gridCol w:w="2551"/>
        <w:gridCol w:w="2268"/>
        <w:gridCol w:w="2268"/>
      </w:tblGrid>
      <w:tr>
        <w:trPr>
          <w:tblHeader w:val="true"/>
          <w:cantSplit/>
        </w:trPr>
        <w:tc>
          <w:tcPr>
            <w:tcW w:type="dxa" w:w="2098"/>
            <w:shd w:fill="E6E6E6"/>
            <w:tcMar>
              <w:top w:w="110" w:type="dxa"/>
              <w:start w:w="120" w:type="dxa"/>
              <w:bottom w:w="110" w:type="dxa"/>
              <w:end w:w="120" w:type="dxa"/>
            </w:tcMar>
            <w:vAlign w:val="center"/>
          </w:tcPr>
          <w:p>
            <w:r>
              <w:rPr>
                <w:b/>
                <w:color w:val="000000"/>
                <w:sz w:val="20"/>
              </w:rPr>
              <w:t>Case reference</w:t>
            </w:r>
          </w:p>
        </w:tc>
        <w:tc>
          <w:tcPr>
            <w:tcW w:type="dxa" w:w="2551"/>
            <w:shd w:fill="E6E6E6"/>
            <w:tcMar>
              <w:top w:w="110" w:type="dxa"/>
              <w:start w:w="120" w:type="dxa"/>
              <w:bottom w:w="110" w:type="dxa"/>
              <w:end w:w="120" w:type="dxa"/>
            </w:tcMar>
            <w:vAlign w:val="center"/>
          </w:tcPr>
          <w:p>
            <w:r>
              <w:rPr>
                <w:b/>
                <w:color w:val="000000"/>
                <w:sz w:val="20"/>
              </w:rPr>
              <w:t>Property</w:t>
            </w:r>
          </w:p>
        </w:tc>
        <w:tc>
          <w:tcPr>
            <w:tcW w:type="dxa" w:w="2268"/>
            <w:shd w:fill="E6E6E6"/>
            <w:tcMar>
              <w:top w:w="110" w:type="dxa"/>
              <w:start w:w="120" w:type="dxa"/>
              <w:bottom w:w="110" w:type="dxa"/>
              <w:end w:w="120" w:type="dxa"/>
            </w:tcMar>
            <w:vAlign w:val="center"/>
          </w:tcPr>
          <w:p>
            <w:r>
              <w:rPr>
                <w:b/>
                <w:color w:val="000000"/>
                <w:sz w:val="20"/>
              </w:rPr>
              <w:t>Applicant</w:t>
            </w:r>
          </w:p>
        </w:tc>
        <w:tc>
          <w:tcPr>
            <w:tcW w:type="dxa" w:w="2268"/>
            <w:shd w:fill="E6E6E6"/>
            <w:tcMar>
              <w:top w:w="110" w:type="dxa"/>
              <w:start w:w="120" w:type="dxa"/>
              <w:bottom w:w="110" w:type="dxa"/>
              <w:end w:w="120" w:type="dxa"/>
            </w:tcMar>
            <w:vAlign w:val="center"/>
          </w:tcPr>
          <w:p>
            <w:r>
              <w:rPr>
                <w:b/>
                <w:color w:val="000000"/>
                <w:sz w:val="20"/>
              </w:rPr>
              <w:t>Respondent</w:t>
            </w:r>
          </w:p>
        </w:tc>
      </w:tr>
      <w:tr>
        <w:trPr>
          <w:cantSplit/>
        </w:trPr>
        <w:tc>
          <w:tcPr>
            <w:tcW w:type="dxa" w:w="2098"/>
            <w:tcMar>
              <w:top w:w="110" w:type="dxa"/>
              <w:start w:w="120" w:type="dxa"/>
              <w:bottom w:w="110" w:type="dxa"/>
              <w:end w:w="120" w:type="dxa"/>
            </w:tcMar>
          </w:tcPr>
          <w:p>
            <w:r>
              <w:rPr>
                <w:sz w:val="20"/>
                <w:shd w:fill="FFF2CC"/>
              </w:rPr>
              <w:t>[ENTER]</w:t>
            </w:r>
          </w:p>
        </w:tc>
        <w:tc>
          <w:tcPr>
            <w:tcW w:type="dxa" w:w="2551"/>
            <w:tcMar>
              <w:top w:w="110" w:type="dxa"/>
              <w:start w:w="120" w:type="dxa"/>
              <w:bottom w:w="110" w:type="dxa"/>
              <w:end w:w="120" w:type="dxa"/>
            </w:tcMar>
          </w:tcPr>
          <w:p>
            <w:r>
              <w:rPr>
                <w:sz w:val="20"/>
                <w:shd w:fill="FFF2CC"/>
              </w:rPr>
              <w:t>[ENTER]</w:t>
            </w:r>
          </w:p>
        </w:tc>
        <w:tc>
          <w:tcPr>
            <w:tcW w:type="dxa" w:w="2268"/>
            <w:tcMar>
              <w:top w:w="110" w:type="dxa"/>
              <w:start w:w="120" w:type="dxa"/>
              <w:bottom w:w="110" w:type="dxa"/>
              <w:end w:w="120" w:type="dxa"/>
            </w:tcMar>
          </w:tcPr>
          <w:p>
            <w:r>
              <w:rPr>
                <w:sz w:val="20"/>
                <w:shd w:fill="FFF2CC"/>
              </w:rPr>
              <w:t>[ENTER]</w:t>
            </w:r>
          </w:p>
        </w:tc>
        <w:tc>
          <w:tcPr>
            <w:tcW w:type="dxa" w:w="2268"/>
            <w:tcMar>
              <w:top w:w="110" w:type="dxa"/>
              <w:start w:w="120" w:type="dxa"/>
              <w:bottom w:w="110" w:type="dxa"/>
              <w:end w:w="120" w:type="dxa"/>
            </w:tcMar>
          </w:tcPr>
          <w:p>
            <w:r>
              <w:rPr>
                <w:sz w:val="20"/>
                <w:shd w:fill="FFF2CC"/>
              </w:rPr>
              <w:t>[ENTER]</w:t>
            </w:r>
          </w:p>
        </w:tc>
      </w:tr>
    </w:tbl>
    <w:p/>
    <w:p>
      <w:pPr>
        <w:pStyle w:val="Heading1"/>
      </w:pPr>
      <w:r>
        <w:t>Request</w:t>
      </w:r>
    </w:p>
    <w:p>
      <w:r>
        <w:rPr>
          <w:shd w:fill="FFF2CC"/>
        </w:rPr>
        <w:t>1. The [ENTER PARTY] was directed by paragraph [ENTER NUMBER] of the order dated [ENTER DATE] to [ENTER OBLIGATION] by [ENTER DEADLINE].</w:t>
      </w:r>
    </w:p>
    <w:p>
      <w:r>
        <w:rPr>
          <w:shd w:fill="FFF2CC"/>
        </w:rPr>
        <w:t>2. The direction has not been complied with. The evidence of default is [ENTER SHORT, OBJECTIVE REFERENCE].</w:t>
      </w:r>
    </w:p>
    <w:p>
      <w:r>
        <w:rPr>
          <w:shd w:fill="FFF2CC"/>
        </w:rPr>
        <w:t>3. The default affects fair preparation or disposal because [ENTER SPECIFIC EFFECT — FOR EXAMPLE, A DOCUMENT CANNOT BE ANSWERED OR THE BUNDLE CANNOT BE AGREED].</w:t>
      </w:r>
    </w:p>
    <w:p>
      <w:r>
        <w:rPr>
          <w:shd w:fill="FFF2CC"/>
        </w:rPr>
        <w:t>4. On [ENTER DATE], [ENTER REMINDER / WARNING / OPPORTUNITY] was given. The position when this request was made is [ENTER CURRENT STATUS].</w:t>
      </w:r>
    </w:p>
    <w:p>
      <w:r>
        <w:rPr>
          <w:shd w:fill="FFF2CC"/>
        </w:rPr>
        <w:t>5. The applicant asks the Tribunal to direct [ENTER PRIMARY, PROPORTIONATE ORDER].</w:t>
      </w:r>
    </w:p>
    <w:p>
      <w:r>
        <w:rPr>
          <w:shd w:fill="FFF2CC"/>
        </w:rPr>
        <w:t>6. If the Tribunal does not make that order, the applicant asks alternatively for [ENTER SHORT COMPLIANCE ORDER, DEADLINE AND PROPOSED CONSEQUENCE].</w:t>
      </w:r>
    </w:p>
    <w:p>
      <w:pPr>
        <w:pStyle w:val="Heading1"/>
      </w:pPr>
      <w:r>
        <w:t>Service and continuing compliance</w:t>
      </w:r>
    </w:p>
    <w:p>
      <w:r>
        <w:rPr>
          <w:shd w:fill="FFF2CC"/>
        </w:rPr>
        <w:t>7. This request and its attachments were copied to every other party on [ENTER DATE] by [ENTER METHOD]. The applicant will comply with all existing directions that remain possible.</w:t>
      </w:r>
    </w:p>
    <w:p>
      <w:r>
        <w:rPr>
          <w:shd w:fill="FFF2CC"/>
        </w:rPr>
        <w:t>Signed: [ENTER NAME]    Dated: [ENTER DATE]</w:t>
      </w:r>
    </w:p>
    <w:sectPr w:rsidR="00FC693F" w:rsidRPr="0006063C" w:rsidSect="00034616">
      <w:footerReference w:type="default" r:id="rId9"/>
      <w:pgSz w:w="11906" w:h="16838"/>
      <w:pgMar w:top="124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FTT case-management / Order 1 request</dc:title>
  <dc:subject>Standalone practical template for residential leaseholders in England</dc:subject>
  <dc:creator/>
  <cp:keywords/>
  <dc:description/>
  <cp:lastModifiedBy/>
  <cp:revision>1</cp:revision>
  <dcterms:created xsi:type="dcterms:W3CDTF">2013-12-23T23:15:00Z</dcterms:created>
  <dcterms:modified xsi:type="dcterms:W3CDTF">2013-12-23T23:15:00Z</dcterms:modified>
  <cp:category/>
</cp:coreProperties>
</file>